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4C27" w14:textId="066B99C6" w:rsidR="00882C3B" w:rsidRPr="00C6619D" w:rsidRDefault="00B84693" w:rsidP="001A13EA">
      <w:pPr>
        <w:rPr>
          <w:rFonts w:ascii="Calibri" w:hAnsi="Calibri" w:cs="Calibri"/>
          <w:b/>
        </w:rPr>
      </w:pP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r>
      <w:r w:rsidRPr="00C6619D">
        <w:rPr>
          <w:rFonts w:ascii="Calibri" w:hAnsi="Calibri" w:cs="Calibri"/>
          <w:b/>
        </w:rPr>
        <w:tab/>
        <w:t xml:space="preserve">          </w:t>
      </w:r>
      <w:r w:rsidR="00882C3B" w:rsidRPr="00C6619D">
        <w:rPr>
          <w:rFonts w:ascii="Calibri" w:hAnsi="Calibri" w:cs="Calibri"/>
          <w:b/>
        </w:rPr>
        <w:t>M</w:t>
      </w:r>
      <w:r w:rsidR="00755B8E">
        <w:rPr>
          <w:rFonts w:ascii="Calibri" w:hAnsi="Calibri" w:cs="Calibri"/>
          <w:b/>
        </w:rPr>
        <w:t>12551</w:t>
      </w:r>
    </w:p>
    <w:p w14:paraId="3A773728" w14:textId="77777777" w:rsidR="00882C3B" w:rsidRPr="00C6619D" w:rsidRDefault="00882C3B" w:rsidP="001A13EA">
      <w:pPr>
        <w:rPr>
          <w:rFonts w:ascii="Calibri" w:hAnsi="Calibri" w:cs="Calibri"/>
        </w:rPr>
      </w:pPr>
    </w:p>
    <w:p w14:paraId="0A8BBBD9" w14:textId="77777777" w:rsidR="00882C3B" w:rsidRPr="00C6619D" w:rsidRDefault="00882C3B" w:rsidP="001A13EA">
      <w:pPr>
        <w:pStyle w:val="SMCentreBold"/>
        <w:spacing w:line="240" w:lineRule="auto"/>
        <w:rPr>
          <w:rFonts w:ascii="Calibri" w:hAnsi="Calibri" w:cs="Calibri"/>
          <w:sz w:val="24"/>
        </w:rPr>
      </w:pPr>
      <w:r w:rsidRPr="00C6619D">
        <w:rPr>
          <w:rFonts w:ascii="Calibri" w:hAnsi="Calibri" w:cs="Calibri"/>
          <w:sz w:val="24"/>
        </w:rPr>
        <w:t>NOVA SCOTIA UTILITY AND REVIEW BOARD</w:t>
      </w:r>
    </w:p>
    <w:p w14:paraId="2DB234CC" w14:textId="77777777" w:rsidR="00882C3B" w:rsidRPr="00C6619D" w:rsidRDefault="00882C3B" w:rsidP="001A13EA">
      <w:pPr>
        <w:pStyle w:val="SMCentreBold"/>
        <w:spacing w:line="240" w:lineRule="auto"/>
        <w:rPr>
          <w:rFonts w:ascii="Calibri" w:hAnsi="Calibri" w:cs="Calibri"/>
          <w:sz w:val="24"/>
        </w:rPr>
      </w:pPr>
    </w:p>
    <w:p w14:paraId="28A03C18" w14:textId="66BE0494" w:rsidR="00882C3B" w:rsidRPr="00C6619D" w:rsidRDefault="00882C3B" w:rsidP="001A13EA">
      <w:pPr>
        <w:rPr>
          <w:rFonts w:ascii="Calibri" w:hAnsi="Calibri" w:cs="Calibri"/>
        </w:rPr>
      </w:pPr>
      <w:r w:rsidRPr="00C6619D">
        <w:rPr>
          <w:rStyle w:val="SMCharacterBold"/>
          <w:rFonts w:ascii="Calibri" w:hAnsi="Calibri" w:cs="Calibri"/>
        </w:rPr>
        <w:t>IN THE MATTER OF:</w:t>
      </w:r>
      <w:r w:rsidR="007266AA" w:rsidRPr="00C6619D">
        <w:rPr>
          <w:rFonts w:ascii="Calibri" w:hAnsi="Calibri" w:cs="Calibri"/>
        </w:rPr>
        <w:t xml:space="preserve"> </w:t>
      </w:r>
      <w:r w:rsidR="007266AA" w:rsidRPr="00C6619D">
        <w:rPr>
          <w:rFonts w:ascii="Calibri" w:hAnsi="Calibri" w:cs="Calibri"/>
        </w:rPr>
        <w:tab/>
      </w:r>
      <w:r w:rsidR="00755B8E">
        <w:rPr>
          <w:rFonts w:ascii="Calibri" w:hAnsi="Calibri" w:cs="Calibri"/>
        </w:rPr>
        <w:tab/>
      </w:r>
      <w:r w:rsidR="007266AA" w:rsidRPr="00C6619D">
        <w:rPr>
          <w:rFonts w:ascii="Calibri" w:hAnsi="Calibri" w:cs="Calibri"/>
          <w:i/>
        </w:rPr>
        <w:t>The</w:t>
      </w:r>
      <w:r w:rsidR="007266AA" w:rsidRPr="00C6619D">
        <w:rPr>
          <w:rFonts w:ascii="Calibri" w:hAnsi="Calibri" w:cs="Calibri"/>
        </w:rPr>
        <w:t xml:space="preserve"> </w:t>
      </w:r>
      <w:r w:rsidR="007266AA" w:rsidRPr="00C6619D">
        <w:rPr>
          <w:rStyle w:val="SMBoldItalic"/>
          <w:rFonts w:ascii="Calibri" w:hAnsi="Calibri" w:cs="Calibri"/>
          <w:b w:val="0"/>
        </w:rPr>
        <w:t>Public Utilities Act</w:t>
      </w:r>
      <w:r w:rsidR="007266AA" w:rsidRPr="00C6619D">
        <w:rPr>
          <w:rStyle w:val="SMBoldItalic"/>
          <w:rFonts w:ascii="Calibri" w:hAnsi="Calibri" w:cs="Calibri"/>
          <w:b w:val="0"/>
          <w:i w:val="0"/>
        </w:rPr>
        <w:t>, R.S.N.S. 1989, c. 380</w:t>
      </w:r>
    </w:p>
    <w:p w14:paraId="262E3139" w14:textId="77777777" w:rsidR="00882C3B" w:rsidRPr="00C6619D" w:rsidRDefault="00882C3B" w:rsidP="001A13EA">
      <w:pPr>
        <w:rPr>
          <w:rFonts w:ascii="Calibri" w:hAnsi="Calibri" w:cs="Calibri"/>
        </w:rPr>
      </w:pPr>
    </w:p>
    <w:p w14:paraId="55231CA4" w14:textId="77777777" w:rsidR="00882C3B" w:rsidRPr="00C6619D" w:rsidRDefault="00882C3B" w:rsidP="001A13EA">
      <w:pPr>
        <w:ind w:left="2160" w:firstLine="720"/>
        <w:rPr>
          <w:rFonts w:ascii="Calibri" w:hAnsi="Calibri" w:cs="Calibri"/>
        </w:rPr>
      </w:pPr>
      <w:r w:rsidRPr="00C6619D">
        <w:rPr>
          <w:rFonts w:ascii="Calibri" w:hAnsi="Calibri" w:cs="Calibri"/>
        </w:rPr>
        <w:t>-and -</w:t>
      </w:r>
    </w:p>
    <w:p w14:paraId="3F0E9D9D" w14:textId="77777777" w:rsidR="00882C3B" w:rsidRPr="00C6619D" w:rsidRDefault="00882C3B" w:rsidP="001A13EA">
      <w:pPr>
        <w:ind w:left="2880" w:hanging="2880"/>
        <w:rPr>
          <w:rStyle w:val="SMCharacterBold"/>
          <w:rFonts w:ascii="Calibri" w:hAnsi="Calibri" w:cs="Calibri"/>
        </w:rPr>
      </w:pPr>
    </w:p>
    <w:p w14:paraId="2EC1684D" w14:textId="0A0AE806" w:rsidR="00882C3B" w:rsidRPr="00C6619D" w:rsidRDefault="00882C3B" w:rsidP="001A13EA">
      <w:pPr>
        <w:ind w:left="2880" w:hanging="2880"/>
        <w:rPr>
          <w:rFonts w:ascii="Calibri" w:hAnsi="Calibri" w:cs="Calibri"/>
        </w:rPr>
      </w:pPr>
      <w:r w:rsidRPr="00C6619D">
        <w:rPr>
          <w:rStyle w:val="SMCharacterBold"/>
          <w:rFonts w:ascii="Calibri" w:hAnsi="Calibri" w:cs="Calibri"/>
        </w:rPr>
        <w:t>IN THE MATTER OF:</w:t>
      </w:r>
      <w:r w:rsidRPr="00C6619D">
        <w:rPr>
          <w:rFonts w:ascii="Calibri" w:hAnsi="Calibri" w:cs="Calibri"/>
        </w:rPr>
        <w:t xml:space="preserve">  </w:t>
      </w:r>
      <w:r w:rsidR="00755B8E">
        <w:rPr>
          <w:rFonts w:ascii="Calibri" w:hAnsi="Calibri" w:cs="Calibri"/>
        </w:rPr>
        <w:tab/>
      </w:r>
      <w:r w:rsidR="00755B8E" w:rsidRPr="0085739C">
        <w:rPr>
          <w:rFonts w:ascii="Calibri" w:hAnsi="Calibri" w:cs="Calibri"/>
          <w:bCs/>
        </w:rPr>
        <w:t>NOVA SCOTIA POWER’S APPLICATION FOR 2026 ANNUALLY ADJUSTED</w:t>
      </w:r>
      <w:r w:rsidR="00537A20" w:rsidRPr="0085739C">
        <w:rPr>
          <w:rFonts w:ascii="Calibri" w:hAnsi="Calibri" w:cs="Calibri"/>
          <w:bCs/>
        </w:rPr>
        <w:t xml:space="preserve"> </w:t>
      </w:r>
      <w:r w:rsidR="00755B8E" w:rsidRPr="0085739C">
        <w:rPr>
          <w:rFonts w:ascii="Calibri" w:hAnsi="Calibri" w:cs="Calibri"/>
          <w:bCs/>
        </w:rPr>
        <w:t>RATES (AAR)</w:t>
      </w:r>
    </w:p>
    <w:p w14:paraId="4CCB2AC3" w14:textId="77777777" w:rsidR="00D27681" w:rsidRPr="00C6619D" w:rsidRDefault="00D27681" w:rsidP="001A13EA">
      <w:pPr>
        <w:tabs>
          <w:tab w:val="left" w:pos="1440"/>
          <w:tab w:val="left" w:pos="2160"/>
          <w:tab w:val="left" w:pos="2880"/>
        </w:tabs>
        <w:ind w:left="2880" w:hanging="2880"/>
        <w:jc w:val="left"/>
        <w:rPr>
          <w:rFonts w:ascii="Calibri" w:eastAsia="Calibri" w:hAnsi="Calibri" w:cs="Calibri"/>
          <w:b/>
          <w:bCs/>
        </w:rPr>
      </w:pPr>
    </w:p>
    <w:p w14:paraId="29345E0C" w14:textId="77777777" w:rsidR="003303CA" w:rsidRPr="00C6619D" w:rsidRDefault="003303CA" w:rsidP="001A13EA">
      <w:pPr>
        <w:jc w:val="center"/>
        <w:rPr>
          <w:rFonts w:ascii="Calibri" w:eastAsia="Calibri" w:hAnsi="Calibri" w:cs="Calibri"/>
          <w:b/>
          <w:bCs/>
          <w:u w:val="single"/>
        </w:rPr>
      </w:pPr>
    </w:p>
    <w:p w14:paraId="5908B8B7" w14:textId="77777777" w:rsidR="00645B55" w:rsidRPr="00C6619D" w:rsidRDefault="00645B55" w:rsidP="001A13EA">
      <w:pPr>
        <w:ind w:left="2880" w:hanging="2880"/>
        <w:rPr>
          <w:rFonts w:ascii="Calibri" w:hAnsi="Calibri" w:cs="Calibri"/>
          <w:b/>
          <w:bCs/>
          <w:u w:val="single"/>
          <w:lang w:val="en-US"/>
        </w:rPr>
      </w:pPr>
      <w:r w:rsidRPr="00C6619D">
        <w:rPr>
          <w:rFonts w:ascii="Calibri" w:hAnsi="Calibri" w:cs="Calibri"/>
          <w:b/>
          <w:bCs/>
          <w:lang w:val="en-US"/>
        </w:rPr>
        <w:tab/>
      </w:r>
    </w:p>
    <w:p w14:paraId="3EA333D3" w14:textId="77777777" w:rsidR="00645B55" w:rsidRPr="00C6619D" w:rsidRDefault="00645B55" w:rsidP="001A13EA">
      <w:pPr>
        <w:ind w:left="2160" w:hanging="2160"/>
        <w:rPr>
          <w:rFonts w:ascii="Calibri" w:hAnsi="Calibri" w:cs="Calibri"/>
          <w:b/>
          <w:bCs/>
          <w:u w:val="single"/>
          <w:lang w:val="en-US"/>
        </w:rPr>
      </w:pPr>
    </w:p>
    <w:p w14:paraId="1607FC59" w14:textId="77777777" w:rsidR="00645B55" w:rsidRPr="00C6619D" w:rsidRDefault="00645B55" w:rsidP="001A13EA">
      <w:pPr>
        <w:ind w:left="2160" w:hanging="2160"/>
        <w:jc w:val="center"/>
        <w:rPr>
          <w:rFonts w:ascii="Calibri" w:hAnsi="Calibri" w:cs="Calibri"/>
          <w:b/>
          <w:bCs/>
          <w:u w:val="single"/>
          <w:lang w:val="en-US"/>
        </w:rPr>
      </w:pPr>
      <w:r w:rsidRPr="00C6619D">
        <w:rPr>
          <w:rFonts w:ascii="Calibri" w:hAnsi="Calibri" w:cs="Calibri"/>
          <w:b/>
          <w:bCs/>
          <w:u w:val="single"/>
          <w:lang w:val="en-US"/>
        </w:rPr>
        <w:t>INFORMATION REQUESTS</w:t>
      </w:r>
    </w:p>
    <w:p w14:paraId="4B689BE0" w14:textId="77777777" w:rsidR="00645B55" w:rsidRPr="00C6619D" w:rsidRDefault="00645B55" w:rsidP="001A13EA">
      <w:pPr>
        <w:ind w:left="2160" w:hanging="2160"/>
        <w:rPr>
          <w:rFonts w:ascii="Calibri" w:hAnsi="Calibri" w:cs="Calibri"/>
          <w:b/>
          <w:bCs/>
          <w:lang w:val="en-US"/>
        </w:rPr>
      </w:pPr>
    </w:p>
    <w:p w14:paraId="0730CD66" w14:textId="77777777" w:rsidR="00645B55" w:rsidRPr="00C6619D" w:rsidRDefault="00645B55" w:rsidP="001A13EA">
      <w:pPr>
        <w:ind w:left="2160" w:hanging="2160"/>
        <w:rPr>
          <w:rFonts w:ascii="Calibri" w:hAnsi="Calibri" w:cs="Calibri"/>
          <w:b/>
          <w:bCs/>
          <w:lang w:val="en-US"/>
        </w:rPr>
      </w:pPr>
    </w:p>
    <w:p w14:paraId="7644808B" w14:textId="77777777" w:rsidR="00645B55" w:rsidRPr="00C6619D" w:rsidRDefault="00645B55" w:rsidP="001A13EA">
      <w:pPr>
        <w:ind w:left="2160" w:hanging="2160"/>
        <w:rPr>
          <w:rFonts w:ascii="Calibri" w:hAnsi="Calibri" w:cs="Calibri"/>
          <w:lang w:val="en-US"/>
        </w:rPr>
      </w:pPr>
    </w:p>
    <w:p w14:paraId="12083E78" w14:textId="77777777" w:rsidR="00755B8E" w:rsidRDefault="00645B55" w:rsidP="001A13EA">
      <w:pPr>
        <w:ind w:left="2160" w:hanging="2160"/>
        <w:rPr>
          <w:rFonts w:ascii="Calibri" w:hAnsi="Calibri" w:cs="Calibri"/>
          <w:b/>
          <w:bCs/>
          <w:lang w:val="en-US"/>
        </w:rPr>
      </w:pPr>
      <w:r w:rsidRPr="00C6619D">
        <w:rPr>
          <w:rFonts w:ascii="Calibri" w:hAnsi="Calibri" w:cs="Calibri"/>
          <w:b/>
          <w:bCs/>
          <w:lang w:val="en-US"/>
        </w:rPr>
        <w:t>To:</w:t>
      </w:r>
      <w:r w:rsidR="00FB7A6D" w:rsidRPr="00C6619D">
        <w:rPr>
          <w:rFonts w:ascii="Calibri" w:hAnsi="Calibri" w:cs="Calibri"/>
          <w:b/>
          <w:bCs/>
          <w:lang w:val="en-US"/>
        </w:rPr>
        <w:tab/>
      </w:r>
      <w:r w:rsidR="00755B8E">
        <w:rPr>
          <w:rFonts w:ascii="Calibri" w:hAnsi="Calibri" w:cs="Calibri"/>
          <w:b/>
          <w:bCs/>
          <w:lang w:val="en-US"/>
        </w:rPr>
        <w:t>Michael Willett</w:t>
      </w:r>
    </w:p>
    <w:p w14:paraId="3D044111" w14:textId="4A97E56C" w:rsidR="00645B55" w:rsidRPr="00C6619D" w:rsidRDefault="00755B8E" w:rsidP="00755B8E">
      <w:pPr>
        <w:ind w:left="2160"/>
        <w:rPr>
          <w:rFonts w:ascii="Calibri" w:hAnsi="Calibri" w:cs="Calibri"/>
          <w:bCs/>
          <w:lang w:val="en-US"/>
        </w:rPr>
      </w:pPr>
      <w:r>
        <w:rPr>
          <w:rFonts w:ascii="Calibri" w:hAnsi="Calibri" w:cs="Calibri"/>
          <w:b/>
          <w:bCs/>
          <w:lang w:val="en-US"/>
        </w:rPr>
        <w:t>Director Reglatory Finance</w:t>
      </w:r>
    </w:p>
    <w:p w14:paraId="40A31693" w14:textId="13667F8C" w:rsidR="007266AA" w:rsidRDefault="007266AA" w:rsidP="001A13EA">
      <w:pPr>
        <w:ind w:left="2160" w:hanging="2160"/>
        <w:rPr>
          <w:rFonts w:ascii="Calibri" w:hAnsi="Calibri" w:cs="Calibri"/>
          <w:bCs/>
          <w:lang w:val="en-US"/>
        </w:rPr>
      </w:pPr>
      <w:r w:rsidRPr="00C6619D">
        <w:rPr>
          <w:rFonts w:ascii="Calibri" w:hAnsi="Calibri" w:cs="Calibri"/>
          <w:b/>
          <w:bCs/>
          <w:lang w:val="en-US"/>
        </w:rPr>
        <w:tab/>
      </w:r>
      <w:r w:rsidRPr="00C6619D">
        <w:rPr>
          <w:rFonts w:ascii="Calibri" w:hAnsi="Calibri" w:cs="Calibri"/>
          <w:bCs/>
          <w:lang w:val="en-US"/>
        </w:rPr>
        <w:t xml:space="preserve">c/o Nova Scotia </w:t>
      </w:r>
      <w:r w:rsidR="00755B8E">
        <w:rPr>
          <w:rFonts w:ascii="Calibri" w:hAnsi="Calibri" w:cs="Calibri"/>
          <w:bCs/>
          <w:lang w:val="en-US"/>
        </w:rPr>
        <w:t>Power Inc.</w:t>
      </w:r>
    </w:p>
    <w:p w14:paraId="3709E7B1" w14:textId="72669D36" w:rsidR="00A41E85" w:rsidRDefault="00A41E85" w:rsidP="001A13EA">
      <w:pPr>
        <w:ind w:left="2160" w:hanging="2160"/>
        <w:rPr>
          <w:rFonts w:ascii="Calibri" w:hAnsi="Calibri" w:cs="Calibri"/>
          <w:bCs/>
          <w:lang w:val="en-US"/>
        </w:rPr>
      </w:pPr>
      <w:r>
        <w:rPr>
          <w:rFonts w:ascii="Calibri" w:hAnsi="Calibri" w:cs="Calibri"/>
          <w:bCs/>
          <w:lang w:val="en-US"/>
        </w:rPr>
        <w:tab/>
        <w:t>1223 Lower Water St.</w:t>
      </w:r>
    </w:p>
    <w:p w14:paraId="4489FA14" w14:textId="3FEFA0B0" w:rsidR="00755B8E" w:rsidRDefault="00755B8E" w:rsidP="001A13EA">
      <w:pPr>
        <w:ind w:left="2160" w:hanging="2160"/>
        <w:rPr>
          <w:rFonts w:ascii="Calibri" w:hAnsi="Calibri" w:cs="Calibri"/>
          <w:bCs/>
          <w:lang w:val="en-US"/>
        </w:rPr>
      </w:pPr>
      <w:r>
        <w:rPr>
          <w:rFonts w:ascii="Calibri" w:hAnsi="Calibri" w:cs="Calibri"/>
          <w:bCs/>
          <w:lang w:val="en-US"/>
        </w:rPr>
        <w:tab/>
        <w:t>PO Box 910</w:t>
      </w:r>
    </w:p>
    <w:p w14:paraId="5E0275D3" w14:textId="14FDEB72" w:rsidR="00755B8E" w:rsidRPr="00C6619D" w:rsidRDefault="00755B8E" w:rsidP="001A13EA">
      <w:pPr>
        <w:ind w:left="2160" w:hanging="2160"/>
        <w:rPr>
          <w:rFonts w:ascii="Calibri" w:hAnsi="Calibri" w:cs="Calibri"/>
          <w:bCs/>
          <w:lang w:val="en-US"/>
        </w:rPr>
      </w:pPr>
      <w:r>
        <w:rPr>
          <w:rFonts w:ascii="Calibri" w:hAnsi="Calibri" w:cs="Calibri"/>
          <w:bCs/>
          <w:lang w:val="en-US"/>
        </w:rPr>
        <w:tab/>
        <w:t>Halifax, NS  B3J</w:t>
      </w:r>
      <w:r w:rsidR="00A41E85">
        <w:rPr>
          <w:rFonts w:ascii="Calibri" w:hAnsi="Calibri" w:cs="Calibri"/>
          <w:bCs/>
          <w:lang w:val="en-US"/>
        </w:rPr>
        <w:t xml:space="preserve"> 3S8</w:t>
      </w:r>
    </w:p>
    <w:p w14:paraId="67410AA8" w14:textId="2B2E56E7" w:rsidR="00645B55" w:rsidRPr="00C6619D" w:rsidRDefault="007266AA" w:rsidP="001A13EA">
      <w:pPr>
        <w:ind w:left="2160" w:hanging="2160"/>
        <w:rPr>
          <w:rFonts w:ascii="Calibri" w:hAnsi="Calibri" w:cs="Calibri"/>
          <w:b/>
          <w:bCs/>
          <w:lang w:val="en-US"/>
        </w:rPr>
      </w:pPr>
      <w:r w:rsidRPr="00C6619D">
        <w:rPr>
          <w:rFonts w:ascii="Calibri" w:hAnsi="Calibri" w:cs="Calibri"/>
          <w:bCs/>
          <w:lang w:val="en-US"/>
        </w:rPr>
        <w:tab/>
      </w:r>
      <w:r w:rsidR="007777BD" w:rsidRPr="00C6619D">
        <w:rPr>
          <w:rFonts w:ascii="Calibri" w:hAnsi="Calibri" w:cs="Calibri"/>
          <w:b/>
          <w:bCs/>
          <w:lang w:val="en-US"/>
        </w:rPr>
        <w:tab/>
      </w:r>
    </w:p>
    <w:p w14:paraId="4542B4EF" w14:textId="78D23621" w:rsidR="00645B55" w:rsidRPr="00C6619D" w:rsidRDefault="00645B55" w:rsidP="001A13EA">
      <w:pPr>
        <w:ind w:left="2160" w:hanging="2160"/>
        <w:rPr>
          <w:rFonts w:ascii="Calibri" w:hAnsi="Calibri" w:cs="Calibri"/>
          <w:lang w:val="en-US"/>
        </w:rPr>
      </w:pPr>
      <w:r w:rsidRPr="00C6619D">
        <w:rPr>
          <w:rFonts w:ascii="Calibri" w:hAnsi="Calibri" w:cs="Calibri"/>
          <w:b/>
          <w:bCs/>
          <w:lang w:val="en-US"/>
        </w:rPr>
        <w:t>From:</w:t>
      </w:r>
      <w:r w:rsidR="00FB7A6D" w:rsidRPr="00C6619D">
        <w:rPr>
          <w:rFonts w:ascii="Calibri" w:hAnsi="Calibri" w:cs="Calibri"/>
          <w:lang w:val="en-US"/>
        </w:rPr>
        <w:tab/>
      </w:r>
      <w:r w:rsidR="001B0D29" w:rsidRPr="00C6619D">
        <w:rPr>
          <w:rFonts w:ascii="Calibri" w:hAnsi="Calibri" w:cs="Calibri"/>
          <w:lang w:val="en-US"/>
        </w:rPr>
        <w:t xml:space="preserve">Nova Scotia </w:t>
      </w:r>
      <w:r w:rsidR="00FB7A6D" w:rsidRPr="00C6619D">
        <w:rPr>
          <w:rFonts w:ascii="Calibri" w:hAnsi="Calibri" w:cs="Calibri"/>
          <w:lang w:val="en-US"/>
        </w:rPr>
        <w:t>Consumer Advocate</w:t>
      </w:r>
    </w:p>
    <w:p w14:paraId="2B240FDD" w14:textId="77777777" w:rsidR="00645B55" w:rsidRPr="00C6619D" w:rsidRDefault="00645B55" w:rsidP="001A13EA">
      <w:pPr>
        <w:ind w:left="2160" w:hanging="2160"/>
        <w:rPr>
          <w:rFonts w:ascii="Calibri" w:hAnsi="Calibri" w:cs="Calibri"/>
          <w:lang w:val="en-US"/>
        </w:rPr>
      </w:pPr>
      <w:r w:rsidRPr="00C6619D">
        <w:rPr>
          <w:rFonts w:ascii="Calibri" w:hAnsi="Calibri" w:cs="Calibri"/>
          <w:lang w:val="en-US"/>
        </w:rPr>
        <w:tab/>
      </w:r>
      <w:r w:rsidRPr="00C6619D">
        <w:rPr>
          <w:rFonts w:ascii="Calibri" w:hAnsi="Calibri" w:cs="Calibri"/>
          <w:lang w:val="en-US"/>
        </w:rPr>
        <w:tab/>
      </w:r>
      <w:r w:rsidRPr="00C6619D">
        <w:rPr>
          <w:rFonts w:ascii="Calibri" w:hAnsi="Calibri" w:cs="Calibri"/>
          <w:lang w:val="en-US"/>
        </w:rPr>
        <w:tab/>
      </w:r>
    </w:p>
    <w:p w14:paraId="21815F5D" w14:textId="632A3347" w:rsidR="00645B55" w:rsidRPr="00C6619D" w:rsidRDefault="00645B55" w:rsidP="001A13EA">
      <w:pPr>
        <w:ind w:left="2160" w:hanging="2160"/>
        <w:rPr>
          <w:rFonts w:ascii="Calibri" w:hAnsi="Calibri" w:cs="Calibri"/>
          <w:bCs/>
          <w:lang w:val="en-US"/>
        </w:rPr>
      </w:pPr>
      <w:r w:rsidRPr="00C6619D">
        <w:rPr>
          <w:rFonts w:ascii="Calibri" w:hAnsi="Calibri" w:cs="Calibri"/>
          <w:b/>
          <w:bCs/>
          <w:lang w:val="en-US"/>
        </w:rPr>
        <w:t>Responses Due:</w:t>
      </w:r>
      <w:r w:rsidRPr="00C6619D">
        <w:rPr>
          <w:rFonts w:ascii="Calibri" w:hAnsi="Calibri" w:cs="Calibri"/>
          <w:b/>
          <w:bCs/>
          <w:lang w:val="en-US"/>
        </w:rPr>
        <w:tab/>
      </w:r>
      <w:r w:rsidR="00755B8E">
        <w:rPr>
          <w:rFonts w:ascii="Calibri" w:hAnsi="Calibri" w:cs="Calibri"/>
          <w:b/>
          <w:bCs/>
          <w:lang w:val="en-US"/>
        </w:rPr>
        <w:t>December 22, 2025</w:t>
      </w:r>
    </w:p>
    <w:p w14:paraId="7B343099" w14:textId="77777777" w:rsidR="00645B55" w:rsidRPr="00C6619D" w:rsidRDefault="00645B55" w:rsidP="001A13EA">
      <w:pPr>
        <w:ind w:left="2160" w:hanging="2160"/>
        <w:rPr>
          <w:rFonts w:ascii="Calibri" w:hAnsi="Calibri" w:cs="Calibri"/>
          <w:bCs/>
          <w:lang w:val="en-US"/>
        </w:rPr>
      </w:pPr>
    </w:p>
    <w:p w14:paraId="1C39582B" w14:textId="77777777" w:rsidR="00645B55" w:rsidRPr="00C6619D" w:rsidRDefault="00645B55" w:rsidP="001A13EA">
      <w:pPr>
        <w:ind w:left="2160" w:hanging="2160"/>
        <w:rPr>
          <w:rFonts w:ascii="Calibri" w:hAnsi="Calibri" w:cs="Calibri"/>
          <w:lang w:val="en-US"/>
        </w:rPr>
      </w:pPr>
      <w:r w:rsidRPr="00C6619D">
        <w:rPr>
          <w:rFonts w:ascii="Calibri" w:hAnsi="Calibri" w:cs="Calibri"/>
          <w:b/>
          <w:bCs/>
          <w:lang w:val="en-US"/>
        </w:rPr>
        <w:t>Copies:</w:t>
      </w:r>
      <w:r w:rsidR="00FB7A6D" w:rsidRPr="00C6619D">
        <w:rPr>
          <w:rFonts w:ascii="Calibri" w:hAnsi="Calibri" w:cs="Calibri"/>
          <w:bCs/>
          <w:lang w:val="en-US"/>
        </w:rPr>
        <w:tab/>
      </w:r>
      <w:r w:rsidRPr="00C6619D">
        <w:rPr>
          <w:rFonts w:ascii="Calibri" w:hAnsi="Calibri" w:cs="Calibri"/>
          <w:lang w:val="en-US"/>
        </w:rPr>
        <w:t>1 electronic copy (PDF searchable)</w:t>
      </w:r>
    </w:p>
    <w:p w14:paraId="5EF82364" w14:textId="77777777" w:rsidR="00645B55" w:rsidRPr="00C6619D" w:rsidRDefault="00FB7A6D" w:rsidP="001A13EA">
      <w:pPr>
        <w:ind w:left="2160" w:hanging="2160"/>
        <w:rPr>
          <w:rFonts w:ascii="Calibri" w:hAnsi="Calibri" w:cs="Calibri"/>
          <w:b/>
          <w:bCs/>
          <w:u w:val="single"/>
          <w:lang w:val="en-US"/>
        </w:rPr>
      </w:pPr>
      <w:r w:rsidRPr="00C6619D">
        <w:rPr>
          <w:rFonts w:ascii="Calibri" w:hAnsi="Calibri" w:cs="Calibri"/>
          <w:lang w:val="en-US"/>
        </w:rPr>
        <w:tab/>
      </w:r>
      <w:r w:rsidR="00645B55" w:rsidRPr="00C6619D">
        <w:rPr>
          <w:rFonts w:ascii="Calibri" w:hAnsi="Calibri" w:cs="Calibri"/>
          <w:bCs/>
          <w:lang w:val="en-US"/>
        </w:rPr>
        <w:tab/>
      </w:r>
      <w:r w:rsidR="00645B55" w:rsidRPr="00C6619D">
        <w:rPr>
          <w:rFonts w:ascii="Calibri" w:hAnsi="Calibri" w:cs="Calibri"/>
          <w:bCs/>
          <w:lang w:val="en-US"/>
        </w:rPr>
        <w:tab/>
      </w:r>
    </w:p>
    <w:p w14:paraId="70728EE3" w14:textId="1E2AAA1E" w:rsidR="00153613" w:rsidRPr="00C6619D" w:rsidRDefault="00645B55" w:rsidP="001A13EA">
      <w:pPr>
        <w:ind w:left="2160" w:hanging="2160"/>
        <w:rPr>
          <w:rFonts w:ascii="Calibri" w:hAnsi="Calibri" w:cs="Calibri"/>
          <w:bCs/>
          <w:lang w:val="en-US"/>
        </w:rPr>
      </w:pPr>
      <w:r w:rsidRPr="00C6619D">
        <w:rPr>
          <w:rFonts w:ascii="Calibri" w:hAnsi="Calibri" w:cs="Calibri"/>
          <w:b/>
          <w:bCs/>
          <w:lang w:val="en-US"/>
        </w:rPr>
        <w:t>Contact Person:</w:t>
      </w:r>
      <w:r w:rsidR="00FB7A6D" w:rsidRPr="00C6619D">
        <w:rPr>
          <w:rFonts w:ascii="Calibri" w:hAnsi="Calibri" w:cs="Calibri"/>
          <w:b/>
          <w:bCs/>
          <w:lang w:val="en-US"/>
        </w:rPr>
        <w:tab/>
      </w:r>
      <w:r w:rsidR="001B0D29" w:rsidRPr="00C6619D">
        <w:rPr>
          <w:rFonts w:ascii="Calibri" w:hAnsi="Calibri" w:cs="Calibri"/>
          <w:bCs/>
          <w:lang w:val="en-US"/>
        </w:rPr>
        <w:t>David Roberts</w:t>
      </w:r>
    </w:p>
    <w:p w14:paraId="65CCF126" w14:textId="0A292521" w:rsidR="001B0D29" w:rsidRPr="00C6619D" w:rsidRDefault="001B0D29" w:rsidP="001A13EA">
      <w:pPr>
        <w:ind w:left="2160" w:hanging="2160"/>
        <w:rPr>
          <w:rFonts w:ascii="Calibri" w:hAnsi="Calibri" w:cs="Calibri"/>
          <w:bCs/>
          <w:lang w:val="en-US"/>
        </w:rPr>
      </w:pPr>
      <w:r w:rsidRPr="00C6619D">
        <w:rPr>
          <w:rFonts w:ascii="Calibri" w:hAnsi="Calibri" w:cs="Calibri"/>
          <w:b/>
          <w:bCs/>
          <w:lang w:val="en-US"/>
        </w:rPr>
        <w:tab/>
      </w:r>
      <w:r w:rsidRPr="00C6619D">
        <w:rPr>
          <w:rFonts w:ascii="Calibri" w:hAnsi="Calibri" w:cs="Calibri"/>
          <w:bCs/>
          <w:lang w:val="en-US"/>
        </w:rPr>
        <w:t>Pink Larkin</w:t>
      </w:r>
    </w:p>
    <w:p w14:paraId="678227B2" w14:textId="3856184F" w:rsidR="001B0D29" w:rsidRPr="00C6619D" w:rsidRDefault="001B0D29" w:rsidP="001A13EA">
      <w:pPr>
        <w:ind w:left="2160" w:hanging="2160"/>
        <w:rPr>
          <w:rFonts w:ascii="Calibri" w:hAnsi="Calibri" w:cs="Calibri"/>
          <w:bCs/>
          <w:lang w:val="en-US"/>
        </w:rPr>
      </w:pPr>
      <w:r w:rsidRPr="00C6619D">
        <w:rPr>
          <w:rFonts w:ascii="Calibri" w:hAnsi="Calibri" w:cs="Calibri"/>
          <w:bCs/>
          <w:lang w:val="en-US"/>
        </w:rPr>
        <w:tab/>
        <w:t>Consumer Advocate</w:t>
      </w:r>
    </w:p>
    <w:p w14:paraId="59EF5355" w14:textId="0F1E35EB" w:rsidR="001B0D29" w:rsidRPr="00C6619D" w:rsidRDefault="001B0D29" w:rsidP="001A13EA">
      <w:pPr>
        <w:ind w:left="2160" w:hanging="2160"/>
        <w:rPr>
          <w:rFonts w:ascii="Calibri" w:hAnsi="Calibri" w:cs="Calibri"/>
          <w:bCs/>
          <w:lang w:val="en-US"/>
        </w:rPr>
      </w:pPr>
      <w:r w:rsidRPr="00C6619D">
        <w:rPr>
          <w:rFonts w:ascii="Calibri" w:hAnsi="Calibri" w:cs="Calibri"/>
          <w:bCs/>
          <w:lang w:val="en-US"/>
        </w:rPr>
        <w:tab/>
        <w:t>Phone</w:t>
      </w:r>
      <w:r w:rsidR="007266AA" w:rsidRPr="00C6619D">
        <w:rPr>
          <w:rFonts w:ascii="Calibri" w:hAnsi="Calibri" w:cs="Calibri"/>
          <w:bCs/>
          <w:lang w:val="en-US"/>
        </w:rPr>
        <w:t>:</w:t>
      </w:r>
      <w:r w:rsidRPr="00C6619D">
        <w:rPr>
          <w:rFonts w:ascii="Calibri" w:hAnsi="Calibri" w:cs="Calibri"/>
          <w:bCs/>
          <w:lang w:val="en-US"/>
        </w:rPr>
        <w:t xml:space="preserve"> (902) 423-7777</w:t>
      </w:r>
    </w:p>
    <w:p w14:paraId="46B11527" w14:textId="43D59FD7" w:rsidR="001B0D29" w:rsidRPr="00C6619D" w:rsidRDefault="001B0D29" w:rsidP="001A13EA">
      <w:pPr>
        <w:ind w:left="2160" w:hanging="2160"/>
        <w:rPr>
          <w:rFonts w:ascii="Calibri" w:hAnsi="Calibri" w:cs="Calibri"/>
          <w:bCs/>
          <w:lang w:val="en-US"/>
        </w:rPr>
      </w:pPr>
      <w:r w:rsidRPr="00C6619D">
        <w:rPr>
          <w:rFonts w:ascii="Calibri" w:hAnsi="Calibri" w:cs="Calibri"/>
          <w:bCs/>
          <w:lang w:val="en-US"/>
        </w:rPr>
        <w:tab/>
      </w:r>
      <w:r w:rsidR="007266AA" w:rsidRPr="00C6619D">
        <w:rPr>
          <w:rFonts w:ascii="Calibri" w:hAnsi="Calibri" w:cs="Calibri"/>
          <w:bCs/>
          <w:lang w:val="en-US"/>
        </w:rPr>
        <w:t xml:space="preserve">Email: </w:t>
      </w:r>
      <w:hyperlink r:id="rId8" w:history="1">
        <w:r w:rsidRPr="00C6619D">
          <w:rPr>
            <w:rStyle w:val="Hyperlink"/>
            <w:rFonts w:ascii="Calibri" w:hAnsi="Calibri" w:cs="Calibri"/>
            <w:bCs/>
            <w:lang w:val="en-US"/>
          </w:rPr>
          <w:t>droberts@pinklarkin.com</w:t>
        </w:r>
      </w:hyperlink>
    </w:p>
    <w:p w14:paraId="70A34C6F" w14:textId="77777777" w:rsidR="00A41E85" w:rsidRDefault="00A41E85" w:rsidP="00A41E85">
      <w:pPr>
        <w:rPr>
          <w:rFonts w:ascii="Calibri" w:hAnsi="Calibri" w:cs="Calibri"/>
          <w:b/>
          <w:bCs/>
          <w:lang w:val="en-US"/>
        </w:rPr>
      </w:pPr>
    </w:p>
    <w:p w14:paraId="651B2B10" w14:textId="77777777" w:rsidR="00A41E85" w:rsidRDefault="00A41E85" w:rsidP="00A41E85">
      <w:pPr>
        <w:rPr>
          <w:rFonts w:ascii="Calibri" w:hAnsi="Calibri" w:cs="Calibri"/>
          <w:b/>
          <w:bCs/>
          <w:lang w:val="en-US"/>
        </w:rPr>
      </w:pPr>
    </w:p>
    <w:p w14:paraId="63497B96" w14:textId="14E35793" w:rsidR="00A41E85" w:rsidRPr="00A41E85" w:rsidRDefault="00A41E85" w:rsidP="00A41E85">
      <w:pPr>
        <w:rPr>
          <w:rFonts w:ascii="Calibri" w:eastAsia="Calibri" w:hAnsi="Calibri" w:cs="Calibri"/>
          <w:lang w:val="en-US"/>
        </w:rPr>
      </w:pPr>
      <w:r w:rsidRPr="00A41E85">
        <w:rPr>
          <w:rFonts w:ascii="Calibri" w:eastAsia="Calibri" w:hAnsi="Calibri" w:cs="Calibri"/>
          <w:b/>
          <w:lang w:val="en-US"/>
        </w:rPr>
        <w:t xml:space="preserve">Issued </w:t>
      </w:r>
      <w:r w:rsidRPr="00A41E85">
        <w:rPr>
          <w:rFonts w:ascii="Calibri" w:eastAsia="Calibri" w:hAnsi="Calibri" w:cs="Calibri"/>
          <w:lang w:val="en-US"/>
        </w:rPr>
        <w:t>at Halifax, Nova Scotia, this 1</w:t>
      </w:r>
      <w:r w:rsidRPr="00A41E85">
        <w:rPr>
          <w:rFonts w:ascii="Calibri" w:eastAsia="Calibri" w:hAnsi="Calibri" w:cs="Calibri"/>
          <w:vertAlign w:val="superscript"/>
          <w:lang w:val="en-US"/>
        </w:rPr>
        <w:t>st</w:t>
      </w:r>
      <w:r w:rsidRPr="00A41E85">
        <w:rPr>
          <w:rFonts w:ascii="Calibri" w:eastAsia="Calibri" w:hAnsi="Calibri" w:cs="Calibri"/>
          <w:lang w:val="en-US"/>
        </w:rPr>
        <w:t xml:space="preserve"> day of December 2025.</w:t>
      </w:r>
    </w:p>
    <w:p w14:paraId="72D5AA70" w14:textId="5A6AEA2A" w:rsidR="00DF0BDA" w:rsidRPr="00C6619D" w:rsidRDefault="00DF0BDA" w:rsidP="001A13EA">
      <w:pPr>
        <w:rPr>
          <w:rFonts w:ascii="Calibri" w:eastAsia="Calibri" w:hAnsi="Calibri" w:cs="Calibri"/>
        </w:rPr>
      </w:pPr>
      <w:r w:rsidRPr="00C6619D">
        <w:rPr>
          <w:rFonts w:ascii="Calibri" w:eastAsia="Calibri" w:hAnsi="Calibri" w:cs="Calibri"/>
        </w:rPr>
        <w:br w:type="page"/>
      </w:r>
    </w:p>
    <w:p w14:paraId="7EEFE323" w14:textId="77777777" w:rsidR="0024224B" w:rsidRPr="0024224B" w:rsidRDefault="0024224B" w:rsidP="0024224B">
      <w:pPr>
        <w:numPr>
          <w:ilvl w:val="0"/>
          <w:numId w:val="17"/>
        </w:numPr>
        <w:ind w:left="720" w:hanging="360"/>
        <w:contextualSpacing/>
        <w:jc w:val="left"/>
        <w:rPr>
          <w:rFonts w:eastAsia="Calibri" w:cs="Times New Roman"/>
          <w:szCs w:val="20"/>
          <w:lang w:val="en-US"/>
        </w:rPr>
      </w:pPr>
    </w:p>
    <w:p w14:paraId="53E9BB29" w14:textId="77777777" w:rsidR="0024224B" w:rsidRPr="0024224B" w:rsidRDefault="0024224B" w:rsidP="0024224B">
      <w:pPr>
        <w:rPr>
          <w:rFonts w:eastAsia="Calibri" w:cs="Times New Roman"/>
          <w:szCs w:val="20"/>
          <w:lang w:val="en-US"/>
        </w:rPr>
      </w:pPr>
    </w:p>
    <w:p w14:paraId="48BE0111" w14:textId="77777777" w:rsidR="0024224B" w:rsidRPr="0024224B" w:rsidRDefault="0024224B" w:rsidP="0024224B">
      <w:pPr>
        <w:ind w:left="360"/>
        <w:rPr>
          <w:rFonts w:eastAsia="Calibri" w:cs="Times New Roman"/>
          <w:szCs w:val="20"/>
          <w:lang w:val="en-US"/>
        </w:rPr>
      </w:pPr>
      <w:r w:rsidRPr="0024224B">
        <w:rPr>
          <w:rFonts w:eastAsia="Calibri" w:cs="Times New Roman"/>
          <w:szCs w:val="20"/>
          <w:lang w:val="en-US"/>
        </w:rPr>
        <w:t>In Appendix J (p. 2), is the paragraph beginning with the words “As a result” a quotation, as suggested by the formatting? If so, please provide the source.</w:t>
      </w:r>
    </w:p>
    <w:p w14:paraId="3C3BB59A" w14:textId="77777777" w:rsidR="0024224B" w:rsidRPr="0024224B" w:rsidRDefault="0024224B" w:rsidP="0024224B">
      <w:pPr>
        <w:rPr>
          <w:rFonts w:eastAsia="Calibri" w:cs="Times New Roman"/>
          <w:szCs w:val="20"/>
          <w:lang w:val="en-US"/>
        </w:rPr>
      </w:pPr>
    </w:p>
    <w:p w14:paraId="59B2B946" w14:textId="77777777" w:rsidR="0024224B" w:rsidRPr="0024224B" w:rsidRDefault="0024224B" w:rsidP="0024224B">
      <w:pPr>
        <w:numPr>
          <w:ilvl w:val="0"/>
          <w:numId w:val="17"/>
        </w:numPr>
        <w:ind w:left="720" w:hanging="360"/>
        <w:contextualSpacing/>
        <w:jc w:val="left"/>
        <w:rPr>
          <w:rFonts w:eastAsia="Calibri" w:cs="Times New Roman"/>
          <w:szCs w:val="20"/>
          <w:lang w:val="en-US"/>
        </w:rPr>
      </w:pPr>
    </w:p>
    <w:p w14:paraId="387A9496" w14:textId="77777777" w:rsidR="0024224B" w:rsidRPr="0024224B" w:rsidRDefault="0024224B" w:rsidP="0024224B">
      <w:pPr>
        <w:rPr>
          <w:rFonts w:eastAsia="Calibri" w:cs="Times New Roman"/>
          <w:szCs w:val="20"/>
          <w:lang w:val="en-US"/>
        </w:rPr>
      </w:pPr>
    </w:p>
    <w:p w14:paraId="51A31662" w14:textId="77777777" w:rsidR="0024224B" w:rsidRPr="0024224B" w:rsidRDefault="0024224B" w:rsidP="0024224B">
      <w:pPr>
        <w:ind w:left="360"/>
        <w:rPr>
          <w:rFonts w:eastAsia="Calibri" w:cs="Times New Roman"/>
          <w:szCs w:val="20"/>
          <w:lang w:val="en-US"/>
        </w:rPr>
      </w:pPr>
      <w:r w:rsidRPr="0024224B">
        <w:rPr>
          <w:rFonts w:eastAsia="Calibri" w:cs="Times New Roman"/>
          <w:szCs w:val="20"/>
          <w:lang w:val="en-US"/>
        </w:rPr>
        <w:t>Please explain whether the energy served for the GRLF, Shore Power, BUTU, Spill, and Energy Balancing Service rates is included in the load forecast used for system planning purposes and, if so, on what basis the peak demand for each rate is also included in the load forecast.</w:t>
      </w:r>
    </w:p>
    <w:p w14:paraId="789E89E9" w14:textId="77777777" w:rsidR="0024224B" w:rsidRPr="0024224B" w:rsidRDefault="0024224B" w:rsidP="0024224B">
      <w:pPr>
        <w:ind w:left="360"/>
        <w:rPr>
          <w:rFonts w:eastAsia="Calibri" w:cs="Times New Roman"/>
          <w:szCs w:val="20"/>
          <w:lang w:val="en-US"/>
        </w:rPr>
      </w:pPr>
    </w:p>
    <w:p w14:paraId="751DA774" w14:textId="77777777" w:rsidR="0024224B" w:rsidRPr="0024224B" w:rsidRDefault="0024224B" w:rsidP="0024224B">
      <w:pPr>
        <w:numPr>
          <w:ilvl w:val="0"/>
          <w:numId w:val="17"/>
        </w:numPr>
        <w:ind w:left="720" w:hanging="360"/>
        <w:contextualSpacing/>
        <w:jc w:val="left"/>
        <w:rPr>
          <w:rFonts w:eastAsia="Calibri" w:cs="Times New Roman"/>
          <w:szCs w:val="20"/>
          <w:lang w:val="en-US"/>
        </w:rPr>
      </w:pPr>
    </w:p>
    <w:p w14:paraId="0DADF811" w14:textId="77777777" w:rsidR="0024224B" w:rsidRPr="0024224B" w:rsidRDefault="0024224B" w:rsidP="0024224B">
      <w:pPr>
        <w:rPr>
          <w:rFonts w:eastAsia="Calibri" w:cs="Times New Roman"/>
          <w:szCs w:val="20"/>
          <w:lang w:val="en-US"/>
        </w:rPr>
      </w:pPr>
    </w:p>
    <w:p w14:paraId="66125F71" w14:textId="77777777" w:rsidR="0024224B" w:rsidRPr="0024224B" w:rsidRDefault="0024224B" w:rsidP="0024224B">
      <w:pPr>
        <w:ind w:left="360"/>
        <w:rPr>
          <w:rFonts w:eastAsia="Calibri" w:cs="Times New Roman"/>
          <w:szCs w:val="20"/>
          <w:lang w:val="en-US"/>
        </w:rPr>
      </w:pPr>
      <w:r w:rsidRPr="0024224B">
        <w:rPr>
          <w:rFonts w:eastAsia="Calibri" w:cs="Times New Roman"/>
          <w:szCs w:val="20"/>
          <w:lang w:val="en-US"/>
        </w:rPr>
        <w:t>In its letter of January 31, 2025, NS Power stated that it would “prepare a proposal outlining the change in methodology for the calculation of the FCA component of 1P-RTP Tariffs for distribution to stakeholders in Q2 2025, for review at the first stakeholder session.”</w:t>
      </w:r>
      <w:r w:rsidRPr="0024224B">
        <w:rPr>
          <w:rFonts w:eastAsia="Calibri" w:cs="Times New Roman"/>
          <w:szCs w:val="20"/>
          <w:vertAlign w:val="superscript"/>
          <w:lang w:val="en-US"/>
        </w:rPr>
        <w:footnoteReference w:id="2"/>
      </w:r>
      <w:r w:rsidRPr="0024224B">
        <w:rPr>
          <w:rFonts w:eastAsia="Calibri" w:cs="Times New Roman"/>
          <w:szCs w:val="20"/>
          <w:lang w:val="en-US"/>
        </w:rPr>
        <w:t xml:space="preserve"> Please explain whether this occurred and, if not, why not.</w:t>
      </w:r>
    </w:p>
    <w:p w14:paraId="69E465E3" w14:textId="77777777" w:rsidR="0024224B" w:rsidRPr="0024224B" w:rsidRDefault="0024224B" w:rsidP="0024224B">
      <w:pPr>
        <w:rPr>
          <w:rFonts w:eastAsia="Calibri" w:cs="Times New Roman"/>
          <w:szCs w:val="20"/>
          <w:lang w:val="en-US"/>
        </w:rPr>
      </w:pPr>
    </w:p>
    <w:p w14:paraId="7A25AE9F" w14:textId="77777777" w:rsidR="0024224B" w:rsidRPr="0024224B" w:rsidRDefault="0024224B" w:rsidP="0024224B">
      <w:pPr>
        <w:numPr>
          <w:ilvl w:val="0"/>
          <w:numId w:val="17"/>
        </w:numPr>
        <w:ind w:left="720" w:hanging="360"/>
        <w:contextualSpacing/>
        <w:jc w:val="left"/>
        <w:rPr>
          <w:rFonts w:eastAsia="Calibri" w:cs="Times New Roman"/>
          <w:szCs w:val="20"/>
          <w:lang w:val="en-US"/>
        </w:rPr>
      </w:pPr>
    </w:p>
    <w:p w14:paraId="12A8FEF4" w14:textId="77777777" w:rsidR="0024224B" w:rsidRPr="0024224B" w:rsidRDefault="0024224B" w:rsidP="0024224B">
      <w:pPr>
        <w:rPr>
          <w:rFonts w:eastAsia="Calibri" w:cs="Times New Roman"/>
          <w:szCs w:val="20"/>
          <w:lang w:val="en-US"/>
        </w:rPr>
      </w:pPr>
    </w:p>
    <w:p w14:paraId="78498D69" w14:textId="77777777" w:rsidR="0024224B" w:rsidRPr="0024224B" w:rsidRDefault="0024224B" w:rsidP="0024224B">
      <w:pPr>
        <w:ind w:left="360"/>
        <w:rPr>
          <w:rFonts w:eastAsia="Calibri" w:cs="Times New Roman"/>
          <w:szCs w:val="20"/>
        </w:rPr>
      </w:pPr>
      <w:r w:rsidRPr="0024224B">
        <w:rPr>
          <w:rFonts w:eastAsia="Calibri" w:cs="Times New Roman"/>
          <w:szCs w:val="20"/>
        </w:rPr>
        <w:t>In the 2025 AAR proceeding, NS Power stated that the impact of recent emissions standards on the 1P-RTP tariff “will continue to adversely affect the methodology until system dispatch is no longer tightly constrained by the SO2 emissions limit” and when “renewable energy sources are added to the system it is expected that this … issue will subside.”</w:t>
      </w:r>
      <w:r w:rsidRPr="0024224B">
        <w:rPr>
          <w:rFonts w:eastAsia="Calibri" w:cs="Times New Roman"/>
          <w:szCs w:val="20"/>
          <w:vertAlign w:val="superscript"/>
        </w:rPr>
        <w:footnoteReference w:id="3"/>
      </w:r>
      <w:r w:rsidRPr="0024224B">
        <w:rPr>
          <w:rFonts w:eastAsia="Calibri" w:cs="Times New Roman"/>
          <w:szCs w:val="20"/>
        </w:rPr>
        <w:t xml:space="preserve"> In its letter to intervenors, NS Power wrote, “The growing complexity of the air emission market makes the continued application of the current avoided fuel cost methodology increasingly difficult, it leads to volatile results, and therefore is unreliable.”</w:t>
      </w:r>
      <w:r w:rsidRPr="0024224B">
        <w:rPr>
          <w:rFonts w:eastAsia="Calibri" w:cs="Times New Roman"/>
          <w:szCs w:val="20"/>
          <w:vertAlign w:val="superscript"/>
        </w:rPr>
        <w:footnoteReference w:id="4"/>
      </w:r>
    </w:p>
    <w:p w14:paraId="38C2ECE1" w14:textId="77777777" w:rsidR="0024224B" w:rsidRPr="0024224B" w:rsidRDefault="0024224B" w:rsidP="0024224B">
      <w:pPr>
        <w:numPr>
          <w:ilvl w:val="0"/>
          <w:numId w:val="19"/>
        </w:numPr>
        <w:contextualSpacing/>
        <w:rPr>
          <w:rFonts w:eastAsia="Calibri" w:cs="Times New Roman"/>
          <w:szCs w:val="20"/>
        </w:rPr>
      </w:pPr>
      <w:r w:rsidRPr="0024224B">
        <w:rPr>
          <w:rFonts w:eastAsia="Calibri" w:cs="Times New Roman"/>
          <w:szCs w:val="20"/>
        </w:rPr>
        <w:t>Please explain whether it is still NS Power’s position that the SO2 emissions limit will not be an issue for the design of the 1P-RTP Tariff after renewable energy sources are added to the system. Please address this question specifically without relation to the second reason for NS Power’s proposed departure from the use of avoided fuel costs under the 1P-RTP Tariff.</w:t>
      </w:r>
    </w:p>
    <w:p w14:paraId="290657C5" w14:textId="77777777" w:rsidR="0024224B" w:rsidRPr="0024224B" w:rsidRDefault="0024224B" w:rsidP="0024224B">
      <w:pPr>
        <w:numPr>
          <w:ilvl w:val="0"/>
          <w:numId w:val="19"/>
        </w:numPr>
        <w:contextualSpacing/>
        <w:rPr>
          <w:rFonts w:eastAsia="Calibri" w:cs="Times New Roman"/>
          <w:szCs w:val="20"/>
        </w:rPr>
      </w:pPr>
      <w:r w:rsidRPr="0024224B">
        <w:rPr>
          <w:rFonts w:eastAsia="Calibri" w:cs="Times New Roman"/>
          <w:szCs w:val="20"/>
        </w:rPr>
        <w:t>NS Power further stated, “An argument can be made that the system composition would look different if the system resources mix was developed for the lower load case resulting from the load decrement analysis. Therefore, the present system configuration may not realistically simulate the load decrement case.”</w:t>
      </w:r>
      <w:r w:rsidRPr="0024224B">
        <w:rPr>
          <w:rFonts w:eastAsia="Calibri" w:cs="Times New Roman"/>
          <w:szCs w:val="20"/>
          <w:vertAlign w:val="superscript"/>
        </w:rPr>
        <w:footnoteReference w:id="5"/>
      </w:r>
      <w:r w:rsidRPr="0024224B">
        <w:rPr>
          <w:rFonts w:eastAsia="Calibri" w:cs="Times New Roman"/>
          <w:szCs w:val="20"/>
        </w:rPr>
        <w:t xml:space="preserve"> Considering the </w:t>
      </w:r>
      <w:r w:rsidRPr="0024224B">
        <w:rPr>
          <w:rFonts w:eastAsia="Calibri" w:cs="Times New Roman"/>
          <w:szCs w:val="20"/>
          <w:u w:val="single"/>
        </w:rPr>
        <w:t>circumstances anticipated for 2026</w:t>
      </w:r>
      <w:r w:rsidRPr="0024224B">
        <w:rPr>
          <w:rFonts w:eastAsia="Calibri" w:cs="Times New Roman"/>
          <w:szCs w:val="20"/>
        </w:rPr>
        <w:t xml:space="preserve">, please identify how the system composition might differ if the load served under the 1P-RTP Tariff was not present on NS Power’s system. </w:t>
      </w:r>
    </w:p>
    <w:p w14:paraId="7361E6D9" w14:textId="77777777" w:rsidR="0024224B" w:rsidRPr="0024224B" w:rsidRDefault="0024224B" w:rsidP="0024224B">
      <w:pPr>
        <w:numPr>
          <w:ilvl w:val="1"/>
          <w:numId w:val="19"/>
        </w:numPr>
        <w:contextualSpacing/>
        <w:rPr>
          <w:rFonts w:eastAsia="Calibri" w:cs="Times New Roman"/>
          <w:szCs w:val="20"/>
        </w:rPr>
      </w:pPr>
      <w:r w:rsidRPr="0024224B">
        <w:rPr>
          <w:rFonts w:eastAsia="Calibri" w:cs="Times New Roman"/>
          <w:szCs w:val="20"/>
        </w:rPr>
        <w:lastRenderedPageBreak/>
        <w:t>In your response, please specifically address the hypothesis that the marginal system capacity for 2026 would be shifting Lingan 2 from cold reserve to full retirement status.</w:t>
      </w:r>
    </w:p>
    <w:p w14:paraId="0DE1FB36" w14:textId="77777777" w:rsidR="0024224B" w:rsidRPr="0024224B" w:rsidRDefault="0024224B" w:rsidP="0024224B">
      <w:pPr>
        <w:numPr>
          <w:ilvl w:val="1"/>
          <w:numId w:val="19"/>
        </w:numPr>
        <w:contextualSpacing/>
        <w:rPr>
          <w:rFonts w:eastAsia="Calibri" w:cs="Times New Roman"/>
          <w:szCs w:val="20"/>
        </w:rPr>
      </w:pPr>
      <w:r w:rsidRPr="0024224B">
        <w:rPr>
          <w:rFonts w:eastAsia="Calibri" w:cs="Times New Roman"/>
          <w:szCs w:val="20"/>
        </w:rPr>
        <w:t>If your response to subpart (i) is that Lingan 2 represents the marginal system capacity, please state whether removing the load served under the 1P-RTP Tariff would be sufficient for NS Power to shift Lingan 2 from cold reserve to full retirement status and, if so, provide the associated avoided costs.</w:t>
      </w:r>
      <w:r w:rsidRPr="0024224B">
        <w:rPr>
          <w:rFonts w:eastAsia="Calibri" w:cs="Times New Roman"/>
          <w:szCs w:val="20"/>
          <w:vertAlign w:val="superscript"/>
        </w:rPr>
        <w:footnoteReference w:id="6"/>
      </w:r>
    </w:p>
    <w:p w14:paraId="316EFB25" w14:textId="77777777" w:rsidR="0024224B" w:rsidRPr="0024224B" w:rsidRDefault="0024224B" w:rsidP="0024224B">
      <w:pPr>
        <w:numPr>
          <w:ilvl w:val="1"/>
          <w:numId w:val="19"/>
        </w:numPr>
        <w:contextualSpacing/>
        <w:rPr>
          <w:rFonts w:eastAsia="Calibri" w:cs="Times New Roman"/>
          <w:szCs w:val="20"/>
        </w:rPr>
      </w:pPr>
      <w:r w:rsidRPr="0024224B">
        <w:rPr>
          <w:rFonts w:eastAsia="Calibri" w:cs="Times New Roman"/>
          <w:szCs w:val="20"/>
        </w:rPr>
        <w:t>If your response to subpart (i) is that some other unit capacity represents the marginal system capacity for 2026, please identify that capacity and provide the associated avoided costs.</w:t>
      </w:r>
    </w:p>
    <w:p w14:paraId="09A57A95" w14:textId="77777777" w:rsidR="0024224B" w:rsidRPr="0024224B" w:rsidRDefault="0024224B" w:rsidP="0024224B">
      <w:pPr>
        <w:numPr>
          <w:ilvl w:val="1"/>
          <w:numId w:val="19"/>
        </w:numPr>
        <w:contextualSpacing/>
        <w:rPr>
          <w:rFonts w:eastAsia="Calibri" w:cs="Times New Roman"/>
          <w:szCs w:val="20"/>
        </w:rPr>
      </w:pPr>
      <w:r w:rsidRPr="0024224B">
        <w:rPr>
          <w:rFonts w:eastAsia="Calibri" w:cs="Times New Roman"/>
          <w:szCs w:val="20"/>
        </w:rPr>
        <w:t>Please explain how the avoided costs referenced in your response are included in the proposed 1P-RTP Tariff design. If no such avoided costs are included, please confirm that your proposal assumes that the system resources mix that would be developed for a lower load case resulting from the load decrement analysis would not differ from the present system configuration. If not confirmed, please explain.</w:t>
      </w:r>
    </w:p>
    <w:p w14:paraId="2C5C6C30" w14:textId="77777777" w:rsidR="0024224B" w:rsidRPr="0024224B" w:rsidRDefault="0024224B" w:rsidP="0024224B">
      <w:pPr>
        <w:numPr>
          <w:ilvl w:val="0"/>
          <w:numId w:val="19"/>
        </w:numPr>
        <w:contextualSpacing/>
        <w:rPr>
          <w:rFonts w:eastAsia="Calibri" w:cs="Times New Roman"/>
          <w:szCs w:val="20"/>
        </w:rPr>
      </w:pPr>
      <w:r w:rsidRPr="0024224B">
        <w:rPr>
          <w:rFonts w:eastAsia="Calibri" w:cs="Times New Roman"/>
          <w:szCs w:val="20"/>
        </w:rPr>
        <w:t>Please provide an alternate version of Appendix B2 using the SO2 adjustment method approved for 2025 but otherwise retaining the same structure (removing the HV rate).</w:t>
      </w:r>
    </w:p>
    <w:p w14:paraId="70AF40E8" w14:textId="77777777" w:rsidR="0024224B" w:rsidRPr="0024224B" w:rsidRDefault="0024224B" w:rsidP="0024224B">
      <w:pPr>
        <w:numPr>
          <w:ilvl w:val="0"/>
          <w:numId w:val="19"/>
        </w:numPr>
        <w:contextualSpacing/>
        <w:rPr>
          <w:rFonts w:eastAsia="Calibri" w:cs="Times New Roman"/>
          <w:szCs w:val="20"/>
        </w:rPr>
      </w:pPr>
      <w:r w:rsidRPr="0024224B">
        <w:rPr>
          <w:rFonts w:eastAsia="Calibri" w:cs="Times New Roman"/>
          <w:szCs w:val="20"/>
        </w:rPr>
        <w:t>Please summarize the total costs forecast to be recovered under the proposed 1P-RTP and the alternate 1P-RTP (as provided in response to part (c) above) rates, and explain any material differences in the total cost recovery.</w:t>
      </w:r>
    </w:p>
    <w:p w14:paraId="0E59EB76" w14:textId="77777777" w:rsidR="0024224B" w:rsidRPr="0024224B" w:rsidRDefault="0024224B" w:rsidP="0024224B">
      <w:pPr>
        <w:numPr>
          <w:ilvl w:val="0"/>
          <w:numId w:val="19"/>
        </w:numPr>
        <w:contextualSpacing/>
        <w:rPr>
          <w:rFonts w:eastAsia="Calibri" w:cs="Times New Roman"/>
          <w:szCs w:val="20"/>
          <w:lang w:val="en-US"/>
        </w:rPr>
      </w:pPr>
      <w:r w:rsidRPr="0024224B">
        <w:rPr>
          <w:rFonts w:eastAsia="Calibri" w:cs="Times New Roman"/>
          <w:szCs w:val="20"/>
          <w:lang w:val="en-US"/>
        </w:rPr>
        <w:t xml:space="preserve">NS Power further states, </w:t>
      </w:r>
    </w:p>
    <w:p w14:paraId="2AAAC5FD" w14:textId="77777777" w:rsidR="0024224B" w:rsidRPr="0024224B" w:rsidRDefault="0024224B" w:rsidP="0024224B">
      <w:pPr>
        <w:ind w:left="1440"/>
        <w:contextualSpacing/>
        <w:rPr>
          <w:rFonts w:eastAsia="Calibri" w:cs="Times New Roman"/>
          <w:szCs w:val="20"/>
          <w:lang w:val="en-US"/>
        </w:rPr>
      </w:pPr>
      <w:r w:rsidRPr="0024224B">
        <w:rPr>
          <w:rFonts w:eastAsia="Calibri" w:cs="Times New Roman"/>
          <w:szCs w:val="20"/>
          <w:lang w:val="en-US"/>
        </w:rPr>
        <w:t>In view of the foregoing [referencing the SO2 emissions limit], NS Power has, in this Application, eliminated the adjustment for the projected imbalance in the recovery of the avoided fuel. Energy charges under these tariffs are proposed to be based on hourly marginal costs, and the fixed cost adders are proposed to include only non-fuel costs.</w:t>
      </w:r>
      <w:r w:rsidRPr="0024224B">
        <w:rPr>
          <w:rFonts w:eastAsia="Calibri" w:cs="Times New Roman"/>
          <w:szCs w:val="20"/>
          <w:vertAlign w:val="superscript"/>
          <w:lang w:val="en-US"/>
        </w:rPr>
        <w:footnoteReference w:id="7"/>
      </w:r>
    </w:p>
    <w:p w14:paraId="747A569F" w14:textId="77777777" w:rsidR="0024224B" w:rsidRPr="0024224B" w:rsidRDefault="0024224B" w:rsidP="0024224B">
      <w:pPr>
        <w:ind w:left="1080"/>
        <w:contextualSpacing/>
        <w:rPr>
          <w:rFonts w:eastAsia="Calibri" w:cs="Times New Roman"/>
          <w:szCs w:val="20"/>
          <w:lang w:val="en-US"/>
        </w:rPr>
      </w:pPr>
      <w:r w:rsidRPr="0024224B">
        <w:rPr>
          <w:rFonts w:eastAsia="Calibri" w:cs="Times New Roman"/>
          <w:szCs w:val="20"/>
          <w:lang w:val="en-US"/>
        </w:rPr>
        <w:t>And:</w:t>
      </w:r>
    </w:p>
    <w:p w14:paraId="1459F831" w14:textId="77777777" w:rsidR="0024224B" w:rsidRPr="0024224B" w:rsidRDefault="0024224B" w:rsidP="0024224B">
      <w:pPr>
        <w:ind w:left="1440"/>
        <w:contextualSpacing/>
        <w:rPr>
          <w:rFonts w:eastAsia="Calibri" w:cs="Times New Roman"/>
          <w:szCs w:val="20"/>
          <w:lang w:val="en-US"/>
        </w:rPr>
      </w:pPr>
      <w:r w:rsidRPr="0024224B">
        <w:rPr>
          <w:rFonts w:eastAsia="Calibri" w:cs="Times New Roman"/>
          <w:szCs w:val="20"/>
          <w:lang w:val="en-US"/>
        </w:rPr>
        <w:t>The fuel cost imbalance arises from employing hourly marginal costs, as opposed to hourly average avoided fuel costs, in energy charges on customer bills. Since the differential between hourly marginal and hourly avoided fuel costs can be volatile, the projected annual fuel cost imbalance can vary and cause fluctuations in the adders from one year to the next. As designed, the combined tariff components collect the overall intended costs.</w:t>
      </w:r>
      <w:r w:rsidRPr="0024224B">
        <w:rPr>
          <w:rFonts w:eastAsia="Calibri" w:cs="Times New Roman"/>
          <w:szCs w:val="20"/>
          <w:vertAlign w:val="superscript"/>
          <w:lang w:val="en-US"/>
        </w:rPr>
        <w:footnoteReference w:id="8"/>
      </w:r>
    </w:p>
    <w:p w14:paraId="5A932EF7" w14:textId="77777777" w:rsidR="0024224B" w:rsidRPr="0024224B" w:rsidRDefault="0024224B" w:rsidP="0024224B">
      <w:pPr>
        <w:numPr>
          <w:ilvl w:val="1"/>
          <w:numId w:val="19"/>
        </w:numPr>
        <w:contextualSpacing/>
        <w:rPr>
          <w:rFonts w:eastAsia="Calibri" w:cs="Times New Roman"/>
          <w:szCs w:val="20"/>
        </w:rPr>
      </w:pPr>
      <w:r w:rsidRPr="0024224B">
        <w:rPr>
          <w:rFonts w:eastAsia="Calibri" w:cs="Times New Roman"/>
          <w:szCs w:val="20"/>
        </w:rPr>
        <w:t>Please confirm that the only justification specifically cited in the Application for eliminating the “adjustment for the projected imbalance” is the SO2 emissions limit issue.</w:t>
      </w:r>
    </w:p>
    <w:p w14:paraId="5B7D984A" w14:textId="77777777" w:rsidR="0024224B" w:rsidRPr="0024224B" w:rsidRDefault="0024224B" w:rsidP="0024224B">
      <w:pPr>
        <w:numPr>
          <w:ilvl w:val="1"/>
          <w:numId w:val="19"/>
        </w:numPr>
        <w:contextualSpacing/>
        <w:rPr>
          <w:rFonts w:eastAsia="Calibri" w:cs="Times New Roman"/>
          <w:szCs w:val="20"/>
        </w:rPr>
      </w:pPr>
      <w:r w:rsidRPr="0024224B">
        <w:rPr>
          <w:rFonts w:eastAsia="Calibri" w:cs="Times New Roman"/>
          <w:szCs w:val="20"/>
        </w:rPr>
        <w:t>Please explain any other reasons that NS Power has for eliminating the “adjustment for the projected imbalance.”</w:t>
      </w:r>
    </w:p>
    <w:p w14:paraId="78A2439E" w14:textId="77777777" w:rsidR="0024224B" w:rsidRDefault="0024224B" w:rsidP="0024224B">
      <w:pPr>
        <w:rPr>
          <w:rFonts w:eastAsia="Calibri" w:cs="Times New Roman"/>
          <w:szCs w:val="20"/>
          <w:lang w:val="en-US"/>
        </w:rPr>
      </w:pPr>
    </w:p>
    <w:p w14:paraId="2D8F3049" w14:textId="77777777" w:rsidR="0024224B" w:rsidRDefault="0024224B" w:rsidP="0024224B">
      <w:pPr>
        <w:rPr>
          <w:rFonts w:eastAsia="Calibri" w:cs="Times New Roman"/>
          <w:szCs w:val="20"/>
          <w:lang w:val="en-US"/>
        </w:rPr>
      </w:pPr>
    </w:p>
    <w:p w14:paraId="3CB43AF4" w14:textId="77777777" w:rsidR="0024224B" w:rsidRDefault="0024224B" w:rsidP="0024224B">
      <w:pPr>
        <w:rPr>
          <w:rFonts w:eastAsia="Calibri" w:cs="Times New Roman"/>
          <w:szCs w:val="20"/>
          <w:lang w:val="en-US"/>
        </w:rPr>
      </w:pPr>
    </w:p>
    <w:p w14:paraId="52114781" w14:textId="77777777" w:rsidR="0024224B" w:rsidRPr="0024224B" w:rsidRDefault="0024224B" w:rsidP="0024224B">
      <w:pPr>
        <w:rPr>
          <w:rFonts w:eastAsia="Calibri" w:cs="Times New Roman"/>
          <w:szCs w:val="20"/>
          <w:lang w:val="en-US"/>
        </w:rPr>
      </w:pPr>
    </w:p>
    <w:p w14:paraId="0408EA3B" w14:textId="77777777" w:rsidR="0024224B" w:rsidRPr="0024224B" w:rsidRDefault="0024224B" w:rsidP="0024224B">
      <w:pPr>
        <w:numPr>
          <w:ilvl w:val="0"/>
          <w:numId w:val="17"/>
        </w:numPr>
        <w:ind w:left="720" w:hanging="360"/>
        <w:contextualSpacing/>
        <w:jc w:val="left"/>
        <w:rPr>
          <w:rFonts w:eastAsia="Calibri" w:cs="Times New Roman"/>
          <w:szCs w:val="20"/>
          <w:lang w:val="en-US"/>
        </w:rPr>
      </w:pPr>
    </w:p>
    <w:p w14:paraId="650E8736" w14:textId="77777777" w:rsidR="0024224B" w:rsidRPr="0024224B" w:rsidRDefault="0024224B" w:rsidP="0024224B">
      <w:pPr>
        <w:rPr>
          <w:rFonts w:eastAsia="Calibri" w:cs="Times New Roman"/>
          <w:szCs w:val="20"/>
          <w:lang w:val="en-US"/>
        </w:rPr>
      </w:pPr>
    </w:p>
    <w:p w14:paraId="79662224" w14:textId="77777777" w:rsidR="0024224B" w:rsidRPr="0024224B" w:rsidRDefault="0024224B" w:rsidP="0024224B">
      <w:pPr>
        <w:ind w:left="360"/>
        <w:rPr>
          <w:rFonts w:eastAsia="Calibri" w:cs="Times New Roman"/>
          <w:szCs w:val="20"/>
          <w:lang w:val="en-US"/>
        </w:rPr>
      </w:pPr>
      <w:r w:rsidRPr="0024224B">
        <w:rPr>
          <w:rFonts w:eastAsia="Calibri" w:cs="Times New Roman"/>
          <w:szCs w:val="20"/>
        </w:rPr>
        <w:t xml:space="preserve">In its 2018 </w:t>
      </w:r>
      <w:r w:rsidRPr="0024224B">
        <w:rPr>
          <w:rFonts w:eastAsia="Calibri" w:cs="Times New Roman"/>
          <w:szCs w:val="20"/>
          <w:lang w:val="en-US"/>
        </w:rPr>
        <w:t>AAR</w:t>
      </w:r>
      <w:r w:rsidRPr="0024224B">
        <w:rPr>
          <w:rFonts w:eastAsia="Calibri" w:cs="Times New Roman"/>
          <w:szCs w:val="20"/>
        </w:rPr>
        <w:t xml:space="preserve"> application, NS Power stated that the “</w:t>
      </w:r>
      <w:r w:rsidRPr="0024224B">
        <w:rPr>
          <w:rFonts w:eastAsia="Calibri" w:cs="Times New Roman"/>
          <w:szCs w:val="20"/>
          <w:lang w:val="en-US"/>
        </w:rPr>
        <w:t>the marginal hourly costs of the next MWh are determined by the incremental costs of the source of generation on the margin in each hour.”</w:t>
      </w:r>
      <w:r w:rsidRPr="0024224B">
        <w:rPr>
          <w:rFonts w:eastAsia="Calibri" w:cs="Times New Roman"/>
          <w:szCs w:val="20"/>
          <w:vertAlign w:val="superscript"/>
          <w:lang w:val="en-US"/>
        </w:rPr>
        <w:footnoteReference w:id="9"/>
      </w:r>
      <w:r w:rsidRPr="0024224B">
        <w:rPr>
          <w:rFonts w:eastAsia="Calibri" w:cs="Times New Roman"/>
          <w:szCs w:val="20"/>
          <w:lang w:val="en-US"/>
        </w:rPr>
        <w:t xml:space="preserve"> In that same application, NS Power explained that changes in system demand can “cause a coal unit to be shut off because it cannot run below its minimum stable level;”</w:t>
      </w:r>
      <w:r w:rsidRPr="0024224B">
        <w:rPr>
          <w:rFonts w:eastAsia="Calibri" w:cs="Times New Roman"/>
          <w:szCs w:val="20"/>
          <w:vertAlign w:val="superscript"/>
          <w:lang w:val="en-US"/>
        </w:rPr>
        <w:footnoteReference w:id="10"/>
      </w:r>
      <w:r w:rsidRPr="0024224B">
        <w:rPr>
          <w:rFonts w:eastAsia="Calibri" w:cs="Times New Roman"/>
          <w:szCs w:val="20"/>
          <w:lang w:val="en-US"/>
        </w:rPr>
        <w:t xml:space="preserve"> this raises the topic of unit commitment costs. Please explain </w:t>
      </w:r>
      <w:r w:rsidRPr="0024224B">
        <w:rPr>
          <w:rFonts w:eastAsia="Calibri" w:cs="Times New Roman"/>
          <w:szCs w:val="20"/>
        </w:rPr>
        <w:t>how</w:t>
      </w:r>
      <w:r w:rsidRPr="0024224B">
        <w:rPr>
          <w:rFonts w:eastAsia="Calibri" w:cs="Times New Roman"/>
          <w:szCs w:val="20"/>
          <w:lang w:val="en-US"/>
        </w:rPr>
        <w:t xml:space="preserve"> each of the following 1P-RTP Tariff designs collects unit commitment costs that result from the additional demand: (i) as approved in the 2024 AAR decision; (ii) as approved in the 2025 AAR decision, and (iii) as proposed in the 2026 AAR application.</w:t>
      </w:r>
    </w:p>
    <w:p w14:paraId="630CB8AB" w14:textId="077D26E0" w:rsidR="009701C0" w:rsidRPr="00C6619D" w:rsidRDefault="005F17A5" w:rsidP="0024224B">
      <w:pPr>
        <w:ind w:left="567"/>
        <w:contextualSpacing/>
        <w:jc w:val="left"/>
        <w:rPr>
          <w:rFonts w:ascii="Calibri" w:eastAsia="Calibri" w:hAnsi="Calibri" w:cs="Calibri"/>
          <w:szCs w:val="20"/>
          <w:lang w:val="en-US"/>
        </w:rPr>
      </w:pPr>
      <w:r>
        <w:rPr>
          <w:rFonts w:ascii="Calibri" w:eastAsia="Calibri" w:hAnsi="Calibri" w:cs="Calibri"/>
          <w:szCs w:val="20"/>
          <w:lang w:val="en-US"/>
        </w:rPr>
        <w:t xml:space="preserve"> </w:t>
      </w:r>
    </w:p>
    <w:p w14:paraId="0C92FEF7" w14:textId="77777777" w:rsidR="00AA44CE" w:rsidRPr="00AA44CE" w:rsidRDefault="00AA44CE" w:rsidP="00AA44CE">
      <w:pPr>
        <w:numPr>
          <w:ilvl w:val="0"/>
          <w:numId w:val="17"/>
        </w:numPr>
        <w:ind w:left="720" w:hanging="360"/>
        <w:contextualSpacing/>
        <w:jc w:val="left"/>
        <w:rPr>
          <w:rFonts w:eastAsia="Calibri" w:cs="Times New Roman"/>
          <w:szCs w:val="20"/>
          <w:lang w:val="en-US"/>
        </w:rPr>
      </w:pPr>
    </w:p>
    <w:p w14:paraId="7E4C0B37" w14:textId="77777777" w:rsidR="00AA44CE" w:rsidRPr="00AA44CE" w:rsidRDefault="00AA44CE" w:rsidP="00AA44CE">
      <w:pPr>
        <w:rPr>
          <w:rFonts w:eastAsia="Calibri" w:cs="Times New Roman"/>
          <w:szCs w:val="20"/>
          <w:lang w:val="en-US"/>
        </w:rPr>
      </w:pPr>
    </w:p>
    <w:p w14:paraId="465733BE" w14:textId="77777777" w:rsidR="00AA44CE" w:rsidRPr="00AA44CE" w:rsidRDefault="00AA44CE" w:rsidP="00AA44CE">
      <w:pPr>
        <w:ind w:left="360"/>
        <w:rPr>
          <w:rFonts w:eastAsia="Calibri" w:cs="Times New Roman"/>
          <w:szCs w:val="20"/>
          <w:lang w:val="en-US"/>
        </w:rPr>
      </w:pPr>
      <w:r w:rsidRPr="00AA44CE">
        <w:rPr>
          <w:rFonts w:eastAsia="Calibri" w:cs="Times New Roman"/>
          <w:szCs w:val="20"/>
          <w:lang w:val="en-US"/>
        </w:rPr>
        <w:t>In its decision on the 2025 AARs, the Board stated:</w:t>
      </w:r>
    </w:p>
    <w:p w14:paraId="1A68D61E" w14:textId="77777777" w:rsidR="00AA44CE" w:rsidRPr="00AA44CE" w:rsidRDefault="00AA44CE" w:rsidP="00AA44CE">
      <w:pPr>
        <w:ind w:left="720"/>
        <w:rPr>
          <w:rFonts w:eastAsia="Calibri" w:cs="Times New Roman"/>
          <w:szCs w:val="20"/>
          <w:lang w:val="en-US"/>
        </w:rPr>
      </w:pPr>
      <w:r w:rsidRPr="00AA44CE">
        <w:rPr>
          <w:rFonts w:eastAsia="Calibri" w:cs="Times New Roman"/>
          <w:szCs w:val="20"/>
          <w:lang w:val="en-US"/>
        </w:rPr>
        <w:t>The Board agrees with Mr. Wilson that it is prudent to have a sensitivity analysis for potential delayed wind resources in the 2026 AARs. In the 2025 ACE Plan M12012, Appendix H lists several wind projects that are expected to go into service in 2025 and 2026. Given the circumstances, it is important to ensure that rates are set on reasonable assumptions and are accurate. The Board seeks to understand how the AARs will be affected if some, or all, of these resources miss their target in-service dates. The Board considers that NS Power is in the best position to identify realistic scenarios for sensitivity analyses. NS Power is directed, in the 2026 AAR application, to provide scenarios of delays to wind resources scheduled to go into service in 2025 and 2026 and explain the assumptions it applies in the sensitivity analyses.</w:t>
      </w:r>
      <w:r w:rsidRPr="00AA44CE">
        <w:rPr>
          <w:rFonts w:eastAsia="Calibri" w:cs="Times New Roman"/>
          <w:szCs w:val="20"/>
          <w:vertAlign w:val="superscript"/>
          <w:lang w:val="en-US"/>
        </w:rPr>
        <w:footnoteReference w:id="11"/>
      </w:r>
    </w:p>
    <w:p w14:paraId="42EB0B6C" w14:textId="77777777" w:rsidR="00AA44CE" w:rsidRPr="00AA44CE" w:rsidRDefault="00AA44CE" w:rsidP="00AA44CE">
      <w:pPr>
        <w:ind w:left="360"/>
        <w:rPr>
          <w:rFonts w:eastAsia="Calibri" w:cs="Times New Roman"/>
          <w:szCs w:val="20"/>
          <w:lang w:val="en-US"/>
        </w:rPr>
      </w:pPr>
      <w:r w:rsidRPr="00AA44CE">
        <w:rPr>
          <w:rFonts w:eastAsia="Calibri" w:cs="Times New Roman"/>
          <w:szCs w:val="20"/>
          <w:lang w:val="en-US"/>
        </w:rPr>
        <w:t>In its application, NS Power states that it “does not believe the ‘no new wind’ scenario to be indicative of a plausible outcome for 2026.”</w:t>
      </w:r>
      <w:r w:rsidRPr="00AA44CE">
        <w:rPr>
          <w:rFonts w:eastAsia="Calibri" w:cs="Times New Roman"/>
          <w:szCs w:val="20"/>
          <w:vertAlign w:val="superscript"/>
          <w:lang w:val="en-US"/>
        </w:rPr>
        <w:footnoteReference w:id="12"/>
      </w:r>
    </w:p>
    <w:p w14:paraId="4E2215DC" w14:textId="77777777" w:rsidR="00AA44CE" w:rsidRPr="00AA44CE" w:rsidRDefault="00AA44CE" w:rsidP="00AA44CE">
      <w:pPr>
        <w:numPr>
          <w:ilvl w:val="0"/>
          <w:numId w:val="20"/>
        </w:numPr>
        <w:contextualSpacing/>
        <w:rPr>
          <w:rFonts w:eastAsia="Calibri" w:cs="Times New Roman"/>
          <w:szCs w:val="20"/>
          <w:lang w:val="en-US"/>
        </w:rPr>
      </w:pPr>
      <w:r w:rsidRPr="00AA44CE">
        <w:rPr>
          <w:rFonts w:eastAsia="Calibri" w:cs="Times New Roman"/>
          <w:szCs w:val="20"/>
          <w:lang w:val="en-US"/>
        </w:rPr>
        <w:t>Please explain why NS Power submitted a sensitivity analysis that it believes is not “plausible” in response to a board directive to identify a “realistic” scenario.</w:t>
      </w:r>
    </w:p>
    <w:p w14:paraId="0CAD7AC8" w14:textId="77777777" w:rsidR="00AA44CE" w:rsidRPr="00AA44CE" w:rsidRDefault="00AA44CE" w:rsidP="00AA44CE">
      <w:pPr>
        <w:numPr>
          <w:ilvl w:val="0"/>
          <w:numId w:val="20"/>
        </w:numPr>
        <w:contextualSpacing/>
        <w:rPr>
          <w:rFonts w:eastAsia="Calibri" w:cs="Times New Roman"/>
          <w:szCs w:val="20"/>
          <w:lang w:val="en-US"/>
        </w:rPr>
      </w:pPr>
      <w:r w:rsidRPr="00AA44CE">
        <w:rPr>
          <w:rFonts w:eastAsia="Calibri" w:cs="Times New Roman"/>
          <w:szCs w:val="20"/>
          <w:lang w:val="en-US"/>
        </w:rPr>
        <w:t>NS Power further states, “In addition, the forecast, as developed in Q3 2025, reflects the latest available information reducing the likelihood of an alternate scenario from the anticipated full operation planned 2026 wind sites.”</w:t>
      </w:r>
    </w:p>
    <w:p w14:paraId="764C06AC" w14:textId="77777777" w:rsidR="00AA44CE" w:rsidRPr="00AA44CE" w:rsidRDefault="00AA44CE" w:rsidP="00AA44CE">
      <w:pPr>
        <w:numPr>
          <w:ilvl w:val="1"/>
          <w:numId w:val="20"/>
        </w:numPr>
        <w:contextualSpacing/>
        <w:rPr>
          <w:rFonts w:eastAsia="Calibri" w:cs="Times New Roman"/>
          <w:szCs w:val="20"/>
          <w:lang w:val="en-US"/>
        </w:rPr>
      </w:pPr>
      <w:r w:rsidRPr="00AA44CE">
        <w:rPr>
          <w:rFonts w:eastAsia="Calibri" w:cs="Times New Roman"/>
          <w:szCs w:val="20"/>
          <w:lang w:val="en-US"/>
        </w:rPr>
        <w:t>Please provide the Q3 2025 forecast for wind site operation.</w:t>
      </w:r>
    </w:p>
    <w:p w14:paraId="5DA8E147" w14:textId="6AD0E57D" w:rsidR="00AA44CE" w:rsidRPr="00AA44CE" w:rsidRDefault="00AA44CE" w:rsidP="00AA44CE">
      <w:pPr>
        <w:numPr>
          <w:ilvl w:val="1"/>
          <w:numId w:val="20"/>
        </w:numPr>
        <w:contextualSpacing/>
        <w:rPr>
          <w:rFonts w:eastAsia="Calibri" w:cs="Times New Roman"/>
          <w:szCs w:val="20"/>
          <w:lang w:val="en-US"/>
        </w:rPr>
      </w:pPr>
      <w:r w:rsidRPr="00AA44CE">
        <w:rPr>
          <w:rFonts w:eastAsia="Calibri" w:cs="Times New Roman"/>
          <w:szCs w:val="20"/>
          <w:lang w:val="en-US"/>
        </w:rPr>
        <w:t>Please explain the difference between the forecast and the “anticipated full operation” as suggested by the use of the phrase “alternate scenario.” If there is no difference between these two points, please explain what is meant by “an alternate scenario.”</w:t>
      </w:r>
    </w:p>
    <w:p w14:paraId="32D7571B" w14:textId="77777777" w:rsidR="00AA44CE" w:rsidRPr="00AA44CE" w:rsidRDefault="00AA44CE" w:rsidP="00AA44CE">
      <w:pPr>
        <w:numPr>
          <w:ilvl w:val="0"/>
          <w:numId w:val="20"/>
        </w:numPr>
        <w:contextualSpacing/>
        <w:rPr>
          <w:rFonts w:eastAsia="Calibri" w:cs="Times New Roman"/>
          <w:szCs w:val="20"/>
          <w:lang w:val="en-US"/>
        </w:rPr>
      </w:pPr>
      <w:r w:rsidRPr="00AA44CE">
        <w:rPr>
          <w:rFonts w:eastAsia="Calibri" w:cs="Times New Roman"/>
          <w:szCs w:val="20"/>
          <w:lang w:val="en-US"/>
        </w:rPr>
        <w:t>Please provide an alternate scenario that reflects a delay in some, but not all, wind projects to 2027.</w:t>
      </w:r>
    </w:p>
    <w:p w14:paraId="0A357962" w14:textId="77777777" w:rsidR="00AA44CE" w:rsidRPr="00AA44CE" w:rsidRDefault="00AA44CE" w:rsidP="00AA44CE">
      <w:pPr>
        <w:numPr>
          <w:ilvl w:val="0"/>
          <w:numId w:val="20"/>
        </w:numPr>
        <w:contextualSpacing/>
        <w:jc w:val="left"/>
        <w:rPr>
          <w:rFonts w:eastAsia="Calibri" w:cs="Times New Roman"/>
          <w:szCs w:val="20"/>
          <w:lang w:val="en-US"/>
        </w:rPr>
      </w:pPr>
      <w:r w:rsidRPr="00AA44CE">
        <w:rPr>
          <w:rFonts w:eastAsia="Calibri" w:cs="Times New Roman"/>
          <w:szCs w:val="20"/>
          <w:lang w:val="en-US"/>
        </w:rPr>
        <w:t>Please explain whether NS Power views the Sensitivity 4 results as indicating a material difference if it were used as the basis for rates. If the answer differs by rate, please state your opinion by rate.</w:t>
      </w:r>
    </w:p>
    <w:p w14:paraId="407E5E85" w14:textId="77777777" w:rsidR="00AA44CE" w:rsidRPr="00AA44CE" w:rsidRDefault="00AA44CE" w:rsidP="00AA44CE">
      <w:pPr>
        <w:ind w:left="360"/>
        <w:rPr>
          <w:rFonts w:eastAsia="Calibri" w:cs="Times New Roman"/>
          <w:szCs w:val="20"/>
          <w:lang w:val="en-US"/>
        </w:rPr>
      </w:pPr>
    </w:p>
    <w:p w14:paraId="4AFCFDD1" w14:textId="77777777" w:rsidR="00AA44CE" w:rsidRPr="00AA44CE" w:rsidRDefault="00AA44CE" w:rsidP="00AA44CE">
      <w:pPr>
        <w:numPr>
          <w:ilvl w:val="0"/>
          <w:numId w:val="17"/>
        </w:numPr>
        <w:ind w:left="720" w:hanging="360"/>
        <w:contextualSpacing/>
        <w:jc w:val="left"/>
        <w:rPr>
          <w:rFonts w:eastAsia="Calibri" w:cs="Times New Roman"/>
          <w:szCs w:val="20"/>
          <w:lang w:val="en-US"/>
        </w:rPr>
      </w:pPr>
    </w:p>
    <w:p w14:paraId="66A20B2C" w14:textId="77777777" w:rsidR="00AA44CE" w:rsidRPr="00AA44CE" w:rsidRDefault="00AA44CE" w:rsidP="00AA44CE">
      <w:pPr>
        <w:rPr>
          <w:rFonts w:eastAsia="Calibri" w:cs="Times New Roman"/>
          <w:szCs w:val="20"/>
          <w:lang w:val="en-US"/>
        </w:rPr>
      </w:pPr>
    </w:p>
    <w:p w14:paraId="7193856D" w14:textId="77777777" w:rsidR="00AA44CE" w:rsidRPr="00AA44CE" w:rsidRDefault="00AA44CE" w:rsidP="00AA44CE">
      <w:pPr>
        <w:ind w:left="360"/>
        <w:rPr>
          <w:rFonts w:eastAsia="Calibri" w:cs="Times New Roman"/>
          <w:szCs w:val="20"/>
          <w:lang w:val="en-US"/>
        </w:rPr>
      </w:pPr>
      <w:r w:rsidRPr="00AA44CE">
        <w:rPr>
          <w:rFonts w:eastAsia="Calibri" w:cs="Times New Roman"/>
          <w:szCs w:val="20"/>
          <w:lang w:val="en-US"/>
        </w:rPr>
        <w:t xml:space="preserve">Re: Application, p.14 and Confidential Appendix A7, identifying factors that cause actual import volumes to vary from forecast. </w:t>
      </w:r>
    </w:p>
    <w:p w14:paraId="43729CC2" w14:textId="77777777" w:rsidR="00AA44CE" w:rsidRPr="00AA44CE" w:rsidRDefault="00AA44CE" w:rsidP="00AA44CE">
      <w:pPr>
        <w:numPr>
          <w:ilvl w:val="0"/>
          <w:numId w:val="21"/>
        </w:numPr>
        <w:contextualSpacing/>
        <w:jc w:val="left"/>
        <w:rPr>
          <w:rFonts w:eastAsia="Calibri" w:cs="Times New Roman"/>
          <w:szCs w:val="20"/>
          <w:lang w:val="en-US"/>
        </w:rPr>
      </w:pPr>
      <w:r w:rsidRPr="00AA44CE">
        <w:rPr>
          <w:rFonts w:eastAsia="Calibri" w:cs="Times New Roman"/>
          <w:szCs w:val="20"/>
          <w:lang w:val="en-US"/>
        </w:rPr>
        <w:t xml:space="preserve">Please provide a list of the factors, including but not limited to those identified in Confidential Appendix A7, that NS Power believes may have caused actual import volumes to materially vary from forecast during the years identified in the Board Decision (2021-2025).  </w:t>
      </w:r>
    </w:p>
    <w:p w14:paraId="1EF4A98D" w14:textId="77777777" w:rsidR="00AA44CE" w:rsidRPr="00AA44CE" w:rsidRDefault="00AA44CE" w:rsidP="00AA44CE">
      <w:pPr>
        <w:numPr>
          <w:ilvl w:val="0"/>
          <w:numId w:val="21"/>
        </w:numPr>
        <w:contextualSpacing/>
        <w:jc w:val="left"/>
        <w:rPr>
          <w:rFonts w:eastAsia="Calibri" w:cs="Times New Roman"/>
          <w:szCs w:val="20"/>
          <w:lang w:val="en-US"/>
        </w:rPr>
      </w:pPr>
      <w:r w:rsidRPr="00AA44CE">
        <w:rPr>
          <w:rFonts w:eastAsia="Calibri" w:cs="Times New Roman"/>
          <w:szCs w:val="20"/>
          <w:lang w:val="en-US"/>
        </w:rPr>
        <w:t>Please explain whether NS Power expects any of the factors listed in its response to part (a) to drive variation in imports from the NB/ISONE market during 2026.</w:t>
      </w:r>
    </w:p>
    <w:p w14:paraId="2B194F5B" w14:textId="77777777" w:rsidR="00AA44CE" w:rsidRPr="00AA44CE" w:rsidRDefault="00AA44CE" w:rsidP="00AA44CE">
      <w:pPr>
        <w:numPr>
          <w:ilvl w:val="0"/>
          <w:numId w:val="21"/>
        </w:numPr>
        <w:contextualSpacing/>
        <w:jc w:val="left"/>
        <w:rPr>
          <w:rFonts w:eastAsia="Calibri" w:cs="Times New Roman"/>
          <w:szCs w:val="20"/>
          <w:lang w:val="en-US"/>
        </w:rPr>
      </w:pPr>
      <w:r w:rsidRPr="00AA44CE">
        <w:rPr>
          <w:rFonts w:eastAsia="Calibri" w:cs="Times New Roman"/>
          <w:szCs w:val="20"/>
          <w:lang w:val="en-US"/>
        </w:rPr>
        <w:t>Please state when the forecasts for the following factors that could affect import volumes were developed, how the following factors were considered in those forecasts, and note any material changes in NS Power’s understanding of those factors that have occurred since the forecasts were developed.</w:t>
      </w:r>
    </w:p>
    <w:p w14:paraId="05061454" w14:textId="77777777" w:rsidR="00AA44CE" w:rsidRPr="00AA44CE" w:rsidRDefault="00AA44CE" w:rsidP="00AA44CE">
      <w:pPr>
        <w:numPr>
          <w:ilvl w:val="1"/>
          <w:numId w:val="21"/>
        </w:numPr>
        <w:contextualSpacing/>
        <w:jc w:val="left"/>
        <w:rPr>
          <w:rFonts w:eastAsia="Calibri" w:cs="Times New Roman"/>
          <w:szCs w:val="20"/>
          <w:lang w:val="en-US"/>
        </w:rPr>
      </w:pPr>
      <w:r w:rsidRPr="00AA44CE">
        <w:rPr>
          <w:rFonts w:eastAsia="Calibri" w:cs="Times New Roman"/>
          <w:szCs w:val="20"/>
          <w:lang w:val="en-US"/>
        </w:rPr>
        <w:t>Availability of each energy product (e.g., NS Block, surplus) forecast for delivery via the Maritime Link.</w:t>
      </w:r>
    </w:p>
    <w:p w14:paraId="55468BD1" w14:textId="77777777" w:rsidR="00AA44CE" w:rsidRPr="00AA44CE" w:rsidRDefault="00AA44CE" w:rsidP="00AA44CE">
      <w:pPr>
        <w:numPr>
          <w:ilvl w:val="1"/>
          <w:numId w:val="21"/>
        </w:numPr>
        <w:contextualSpacing/>
        <w:jc w:val="left"/>
        <w:rPr>
          <w:rFonts w:eastAsia="Calibri" w:cs="Times New Roman"/>
          <w:szCs w:val="20"/>
          <w:lang w:val="en-US"/>
        </w:rPr>
      </w:pPr>
      <w:r w:rsidRPr="00AA44CE">
        <w:rPr>
          <w:rFonts w:eastAsia="Calibri" w:cs="Times New Roman"/>
          <w:szCs w:val="20"/>
          <w:lang w:val="en-US"/>
        </w:rPr>
        <w:t>Outages of any major generation units (e.g., NB or NLH units).</w:t>
      </w:r>
    </w:p>
    <w:p w14:paraId="0E6EBEB3" w14:textId="77777777" w:rsidR="00AA44CE" w:rsidRPr="00AA44CE" w:rsidRDefault="00AA44CE" w:rsidP="00AA44CE">
      <w:pPr>
        <w:numPr>
          <w:ilvl w:val="1"/>
          <w:numId w:val="21"/>
        </w:numPr>
        <w:contextualSpacing/>
        <w:jc w:val="left"/>
        <w:rPr>
          <w:rFonts w:eastAsia="Calibri" w:cs="Times New Roman"/>
          <w:szCs w:val="20"/>
          <w:lang w:val="en-US"/>
        </w:rPr>
      </w:pPr>
      <w:r w:rsidRPr="00AA44CE">
        <w:rPr>
          <w:rFonts w:eastAsia="Calibri" w:cs="Times New Roman"/>
          <w:szCs w:val="20"/>
          <w:lang w:val="en-US"/>
        </w:rPr>
        <w:t>Environmental regulations.</w:t>
      </w:r>
    </w:p>
    <w:p w14:paraId="49969079" w14:textId="77777777" w:rsidR="00AA44CE" w:rsidRPr="00AA44CE" w:rsidRDefault="00AA44CE" w:rsidP="00AA44CE">
      <w:pPr>
        <w:numPr>
          <w:ilvl w:val="0"/>
          <w:numId w:val="21"/>
        </w:numPr>
        <w:contextualSpacing/>
        <w:jc w:val="left"/>
        <w:rPr>
          <w:rFonts w:eastAsia="Calibri" w:cs="Times New Roman"/>
          <w:szCs w:val="20"/>
          <w:lang w:val="en-US"/>
        </w:rPr>
      </w:pPr>
      <w:r w:rsidRPr="00AA44CE">
        <w:rPr>
          <w:rFonts w:eastAsia="Calibri" w:cs="Times New Roman"/>
          <w:szCs w:val="20"/>
          <w:lang w:val="en-US"/>
        </w:rPr>
        <w:t>Does the use of a historical average adequately account for material changes in the factors discussed in parts (b) and (c)? If NS Power does not believe so, please provide a sensitivity analysis that adequately accounts for such changes.</w:t>
      </w:r>
    </w:p>
    <w:p w14:paraId="7C972A41" w14:textId="77777777" w:rsidR="00140374" w:rsidRDefault="00140374" w:rsidP="00140374">
      <w:pPr>
        <w:pStyle w:val="ListParagraph"/>
        <w:numPr>
          <w:ilvl w:val="0"/>
          <w:numId w:val="21"/>
        </w:numPr>
        <w:jc w:val="left"/>
        <w:rPr>
          <w:rFonts w:eastAsia="Calibri" w:cs="Times New Roman"/>
          <w:szCs w:val="20"/>
          <w:lang w:val="en-US"/>
        </w:rPr>
      </w:pPr>
      <w:r>
        <w:rPr>
          <w:rFonts w:eastAsia="Calibri" w:cs="Times New Roman"/>
          <w:szCs w:val="20"/>
          <w:lang w:val="en-US"/>
        </w:rPr>
        <w:t>Please provide a comparison of monthly forecast import volumes and monthly model import limits for 2026.</w:t>
      </w:r>
    </w:p>
    <w:p w14:paraId="7A156F2E" w14:textId="77777777" w:rsidR="009701C0" w:rsidRPr="00C6619D" w:rsidRDefault="009701C0" w:rsidP="001A13EA">
      <w:pPr>
        <w:ind w:left="360"/>
        <w:rPr>
          <w:rFonts w:ascii="Calibri" w:eastAsia="Calibri" w:hAnsi="Calibri" w:cs="Calibri"/>
          <w:szCs w:val="20"/>
          <w:lang w:val="en-US"/>
        </w:rPr>
      </w:pPr>
    </w:p>
    <w:p w14:paraId="61E3D661" w14:textId="308E7DB3" w:rsidR="009701C0" w:rsidRPr="00C6619D" w:rsidRDefault="009701C0" w:rsidP="001A13EA">
      <w:pPr>
        <w:ind w:left="720"/>
        <w:contextualSpacing/>
        <w:rPr>
          <w:rFonts w:ascii="Calibri" w:eastAsia="Calibri" w:hAnsi="Calibri" w:cs="Calibri"/>
          <w:szCs w:val="20"/>
          <w:lang w:val="en-US"/>
        </w:rPr>
      </w:pPr>
    </w:p>
    <w:p w14:paraId="657900BC" w14:textId="77777777" w:rsidR="001A13EA" w:rsidRPr="00C6619D" w:rsidRDefault="001A13EA" w:rsidP="001A13EA">
      <w:pPr>
        <w:ind w:left="720"/>
        <w:contextualSpacing/>
        <w:rPr>
          <w:rFonts w:ascii="Calibri" w:eastAsia="Calibri" w:hAnsi="Calibri" w:cs="Calibri"/>
          <w:szCs w:val="20"/>
          <w:lang w:val="en-US"/>
        </w:rPr>
      </w:pPr>
    </w:p>
    <w:p w14:paraId="0C152139" w14:textId="77777777" w:rsidR="009701C0" w:rsidRPr="00C6619D" w:rsidRDefault="009701C0" w:rsidP="0024224B">
      <w:pPr>
        <w:ind w:left="567"/>
        <w:contextualSpacing/>
        <w:rPr>
          <w:rFonts w:ascii="Calibri" w:eastAsia="Calibri" w:hAnsi="Calibri" w:cs="Calibri"/>
          <w:szCs w:val="20"/>
          <w:lang w:val="en-US"/>
        </w:rPr>
      </w:pPr>
    </w:p>
    <w:p w14:paraId="36A93421" w14:textId="4965FCCB" w:rsidR="00846F7C" w:rsidRPr="00C6619D" w:rsidRDefault="00846F7C" w:rsidP="001A13EA">
      <w:pPr>
        <w:ind w:left="360"/>
        <w:rPr>
          <w:rFonts w:ascii="Calibri" w:eastAsia="Calibri" w:hAnsi="Calibri" w:cs="Calibri"/>
          <w:szCs w:val="20"/>
          <w:lang w:val="en-US"/>
        </w:rPr>
      </w:pPr>
    </w:p>
    <w:p w14:paraId="689FD99A" w14:textId="77777777" w:rsidR="001A13EA" w:rsidRPr="00C6619D" w:rsidRDefault="001A13EA" w:rsidP="001A13EA">
      <w:pPr>
        <w:ind w:left="360"/>
        <w:rPr>
          <w:rFonts w:ascii="Calibri" w:eastAsia="Calibri" w:hAnsi="Calibri" w:cs="Calibri"/>
          <w:szCs w:val="20"/>
          <w:lang w:val="en-US"/>
        </w:rPr>
      </w:pPr>
    </w:p>
    <w:p w14:paraId="4E74E1B8" w14:textId="77777777" w:rsidR="001A13EA" w:rsidRPr="00C6619D" w:rsidRDefault="001A13EA" w:rsidP="001A13EA">
      <w:pPr>
        <w:ind w:left="360"/>
        <w:rPr>
          <w:rFonts w:ascii="Calibri" w:eastAsia="Calibri" w:hAnsi="Calibri" w:cs="Calibri"/>
          <w:szCs w:val="20"/>
          <w:lang w:val="en-US"/>
        </w:rPr>
      </w:pPr>
    </w:p>
    <w:p w14:paraId="1441AE7B" w14:textId="77777777" w:rsidR="00846F7C" w:rsidRPr="00C6619D" w:rsidRDefault="00846F7C" w:rsidP="0024224B">
      <w:pPr>
        <w:ind w:left="567"/>
        <w:contextualSpacing/>
        <w:rPr>
          <w:rFonts w:ascii="Calibri" w:eastAsia="Calibri" w:hAnsi="Calibri" w:cs="Calibri"/>
          <w:szCs w:val="20"/>
          <w:lang w:val="en-US"/>
        </w:rPr>
      </w:pPr>
    </w:p>
    <w:p w14:paraId="2D31A718" w14:textId="177A1A0B" w:rsidR="00846F7C" w:rsidRPr="00C6619D" w:rsidRDefault="00846F7C" w:rsidP="001A13EA">
      <w:pPr>
        <w:rPr>
          <w:rFonts w:ascii="Calibri" w:eastAsia="Calibri" w:hAnsi="Calibri" w:cs="Calibri"/>
          <w:szCs w:val="20"/>
          <w:lang w:val="en-US"/>
        </w:rPr>
      </w:pPr>
    </w:p>
    <w:p w14:paraId="643A26A7" w14:textId="08D1F38F" w:rsidR="001A13EA" w:rsidRPr="00C6619D" w:rsidRDefault="001A13EA" w:rsidP="001A13EA">
      <w:pPr>
        <w:rPr>
          <w:rFonts w:ascii="Calibri" w:eastAsia="Calibri" w:hAnsi="Calibri" w:cs="Calibri"/>
          <w:szCs w:val="20"/>
          <w:lang w:val="en-US"/>
        </w:rPr>
      </w:pPr>
    </w:p>
    <w:p w14:paraId="0E12856A" w14:textId="77777777" w:rsidR="001A13EA" w:rsidRPr="00C6619D" w:rsidRDefault="001A13EA" w:rsidP="001A13EA">
      <w:pPr>
        <w:rPr>
          <w:rFonts w:ascii="Calibri" w:eastAsia="Calibri" w:hAnsi="Calibri" w:cs="Calibri"/>
          <w:szCs w:val="20"/>
          <w:lang w:val="en-US"/>
        </w:rPr>
      </w:pPr>
    </w:p>
    <w:p w14:paraId="34DAEC87" w14:textId="77777777" w:rsidR="009701C0" w:rsidRPr="00C6619D" w:rsidRDefault="009701C0" w:rsidP="0024224B">
      <w:pPr>
        <w:ind w:left="567"/>
        <w:contextualSpacing/>
        <w:rPr>
          <w:rFonts w:ascii="Calibri" w:eastAsia="Calibri" w:hAnsi="Calibri" w:cs="Calibri"/>
          <w:szCs w:val="20"/>
          <w:lang w:val="en-US"/>
        </w:rPr>
      </w:pPr>
    </w:p>
    <w:p w14:paraId="5C40C42F" w14:textId="6A4B8653" w:rsidR="00D42BD1" w:rsidRPr="00C6619D" w:rsidRDefault="00D42BD1" w:rsidP="001A13EA">
      <w:pPr>
        <w:rPr>
          <w:rFonts w:ascii="Calibri" w:eastAsia="Calibri" w:hAnsi="Calibri" w:cs="Calibri"/>
          <w:szCs w:val="20"/>
          <w:lang w:val="en-US"/>
        </w:rPr>
      </w:pPr>
    </w:p>
    <w:p w14:paraId="6E6D1882" w14:textId="77777777" w:rsidR="001A13EA" w:rsidRPr="00C6619D" w:rsidRDefault="001A13EA" w:rsidP="001A13EA">
      <w:pPr>
        <w:rPr>
          <w:rFonts w:ascii="Calibri" w:eastAsia="Calibri" w:hAnsi="Calibri" w:cs="Calibri"/>
          <w:szCs w:val="20"/>
          <w:lang w:val="en-US"/>
        </w:rPr>
      </w:pPr>
    </w:p>
    <w:p w14:paraId="7E5756E1" w14:textId="77777777" w:rsidR="001A13EA" w:rsidRPr="00C6619D" w:rsidRDefault="001A13EA" w:rsidP="001A13EA">
      <w:pPr>
        <w:rPr>
          <w:rFonts w:ascii="Calibri" w:eastAsia="Calibri" w:hAnsi="Calibri" w:cs="Calibri"/>
          <w:szCs w:val="20"/>
          <w:lang w:val="en-US"/>
        </w:rPr>
      </w:pPr>
    </w:p>
    <w:p w14:paraId="3BB32E7E" w14:textId="77777777" w:rsidR="00D42BD1" w:rsidRPr="00C6619D" w:rsidRDefault="00D42BD1" w:rsidP="0024224B">
      <w:pPr>
        <w:ind w:left="567"/>
        <w:contextualSpacing/>
        <w:rPr>
          <w:rFonts w:ascii="Calibri" w:eastAsia="Calibri" w:hAnsi="Calibri" w:cs="Calibri"/>
          <w:szCs w:val="20"/>
          <w:lang w:val="en-US"/>
        </w:rPr>
      </w:pPr>
    </w:p>
    <w:p w14:paraId="640B756F" w14:textId="77777777" w:rsidR="00D42BD1" w:rsidRPr="00C6619D" w:rsidRDefault="00D42BD1" w:rsidP="001A13EA">
      <w:pPr>
        <w:ind w:left="360"/>
        <w:rPr>
          <w:rFonts w:ascii="Calibri" w:eastAsia="Calibri" w:hAnsi="Calibri" w:cs="Calibri"/>
          <w:szCs w:val="20"/>
          <w:lang w:val="en-US"/>
        </w:rPr>
      </w:pPr>
    </w:p>
    <w:p w14:paraId="008BD0E0" w14:textId="4AA8BC0B" w:rsidR="00846F7C" w:rsidRPr="00C6619D" w:rsidRDefault="00BA0F53" w:rsidP="001A13EA">
      <w:pPr>
        <w:rPr>
          <w:rFonts w:ascii="Calibri" w:eastAsia="Calibri" w:hAnsi="Calibri" w:cs="Calibri"/>
          <w:szCs w:val="20"/>
          <w:lang w:val="en-US"/>
        </w:rPr>
      </w:pPr>
      <w:r w:rsidRPr="00C6619D">
        <w:rPr>
          <w:rFonts w:ascii="Calibri" w:eastAsia="Calibri" w:hAnsi="Calibri" w:cs="Calibri"/>
          <w:szCs w:val="20"/>
          <w:lang w:val="en-US"/>
        </w:rPr>
        <w:t xml:space="preserve"> </w:t>
      </w:r>
    </w:p>
    <w:sectPr w:rsidR="00846F7C" w:rsidRPr="00C6619D" w:rsidSect="00AA44CE">
      <w:footerReference w:type="default" r:id="rId9"/>
      <w:footerReference w:type="first" r:id="rId10"/>
      <w:pgSz w:w="12240" w:h="15840" w:code="1"/>
      <w:pgMar w:top="1440" w:right="1440" w:bottom="1440" w:left="1440" w:header="1440" w:footer="706" w:gutter="0"/>
      <w:paperSrc w:first="7" w:other="7"/>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A6294" w14:textId="77777777" w:rsidR="00BC6E7F" w:rsidRDefault="00BC6E7F" w:rsidP="00DA1E62">
      <w:r>
        <w:separator/>
      </w:r>
    </w:p>
  </w:endnote>
  <w:endnote w:type="continuationSeparator" w:id="0">
    <w:p w14:paraId="7AA05B57" w14:textId="77777777" w:rsidR="00BC6E7F" w:rsidRDefault="00BC6E7F" w:rsidP="00DA1E62">
      <w:r>
        <w:continuationSeparator/>
      </w:r>
    </w:p>
  </w:endnote>
  <w:endnote w:type="continuationNotice" w:id="1">
    <w:p w14:paraId="6271FEE8" w14:textId="77777777" w:rsidR="00BC6E7F" w:rsidRDefault="00BC6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F555" w14:textId="28FB63B5" w:rsidR="00361583" w:rsidRPr="001A13EA" w:rsidRDefault="001A13EA" w:rsidP="001A13EA">
    <w:pPr>
      <w:pStyle w:val="Footer"/>
    </w:pPr>
    <w:r w:rsidRPr="00C92820">
      <w:rPr>
        <w:sz w:val="20"/>
        <w:szCs w:val="20"/>
      </w:rPr>
      <w:t xml:space="preserve">Date Filed:  </w:t>
    </w:r>
    <w:r w:rsidR="00AA44CE">
      <w:rPr>
        <w:sz w:val="20"/>
        <w:szCs w:val="20"/>
      </w:rPr>
      <w:t>December 1, 2025</w:t>
    </w:r>
    <w:r>
      <w:rPr>
        <w:sz w:val="20"/>
        <w:szCs w:val="20"/>
      </w:rPr>
      <w:tab/>
      <w:t xml:space="preserve">   </w:t>
    </w:r>
    <w:r>
      <w:rPr>
        <w:sz w:val="20"/>
        <w:szCs w:val="20"/>
      </w:rPr>
      <w:tab/>
    </w:r>
    <w:r w:rsidRPr="00C92820">
      <w:rPr>
        <w:sz w:val="20"/>
        <w:szCs w:val="20"/>
      </w:rPr>
      <w:t>CA (</w:t>
    </w:r>
    <w:r w:rsidR="00AA44CE">
      <w:rPr>
        <w:rFonts w:cs="Times New Roman"/>
        <w:sz w:val="20"/>
        <w:szCs w:val="20"/>
      </w:rPr>
      <w:t>NSPI</w:t>
    </w:r>
    <w:r w:rsidRPr="00C92820">
      <w:rPr>
        <w:sz w:val="20"/>
        <w:szCs w:val="20"/>
      </w:rPr>
      <w:t xml:space="preserve">) </w:t>
    </w:r>
    <w:r w:rsidRPr="00C92820">
      <w:rPr>
        <w:sz w:val="20"/>
      </w:rPr>
      <w:t xml:space="preserve">Page </w:t>
    </w:r>
    <w:r w:rsidRPr="00C92820">
      <w:rPr>
        <w:sz w:val="20"/>
      </w:rPr>
      <w:fldChar w:fldCharType="begin"/>
    </w:r>
    <w:r w:rsidRPr="00C92820">
      <w:rPr>
        <w:sz w:val="20"/>
      </w:rPr>
      <w:instrText xml:space="preserve"> PAGE </w:instrText>
    </w:r>
    <w:r w:rsidRPr="00C92820">
      <w:rPr>
        <w:sz w:val="20"/>
      </w:rPr>
      <w:fldChar w:fldCharType="separate"/>
    </w:r>
    <w:r w:rsidR="005F17A5">
      <w:rPr>
        <w:noProof/>
        <w:sz w:val="20"/>
      </w:rPr>
      <w:t>2</w:t>
    </w:r>
    <w:r w:rsidRPr="00C92820">
      <w:rPr>
        <w:sz w:val="20"/>
      </w:rPr>
      <w:fldChar w:fldCharType="end"/>
    </w:r>
    <w:r w:rsidRPr="00C92820">
      <w:rPr>
        <w:sz w:val="20"/>
      </w:rPr>
      <w:t xml:space="preserve"> of</w:t>
    </w:r>
    <w:r>
      <w:rPr>
        <w:sz w:val="20"/>
      </w:rPr>
      <w:t xml:space="preserve"> </w:t>
    </w:r>
    <w:r w:rsidRPr="00C92820">
      <w:rPr>
        <w:sz w:val="20"/>
      </w:rPr>
      <w:fldChar w:fldCharType="begin"/>
    </w:r>
    <w:r w:rsidRPr="00C92820">
      <w:rPr>
        <w:sz w:val="20"/>
      </w:rPr>
      <w:instrText xml:space="preserve"> NUMPAGES </w:instrText>
    </w:r>
    <w:r w:rsidRPr="00C92820">
      <w:rPr>
        <w:sz w:val="20"/>
      </w:rPr>
      <w:fldChar w:fldCharType="separate"/>
    </w:r>
    <w:r w:rsidR="005F17A5">
      <w:rPr>
        <w:noProof/>
        <w:sz w:val="20"/>
      </w:rPr>
      <w:t>2</w:t>
    </w:r>
    <w:r w:rsidRPr="00C92820">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EAF6D" w14:textId="16BD076D" w:rsidR="00361583" w:rsidRDefault="00361583">
    <w:pPr>
      <w:pStyle w:val="Footer"/>
    </w:pPr>
    <w:r w:rsidRPr="00C92820">
      <w:rPr>
        <w:sz w:val="20"/>
        <w:szCs w:val="20"/>
      </w:rPr>
      <w:t xml:space="preserve">Date Filed: </w:t>
    </w:r>
    <w:r w:rsidR="00755B8E" w:rsidRPr="00755B8E">
      <w:rPr>
        <w:sz w:val="20"/>
        <w:szCs w:val="20"/>
      </w:rPr>
      <w:t>December 1, 2025</w:t>
    </w:r>
    <w:r w:rsidRPr="00C92820">
      <w:rPr>
        <w:sz w:val="20"/>
        <w:szCs w:val="20"/>
      </w:rPr>
      <w:t xml:space="preserve"> </w:t>
    </w:r>
    <w:r>
      <w:rPr>
        <w:sz w:val="20"/>
        <w:szCs w:val="20"/>
      </w:rPr>
      <w:tab/>
      <w:t xml:space="preserve">   </w:t>
    </w:r>
    <w:r>
      <w:rPr>
        <w:sz w:val="20"/>
        <w:szCs w:val="20"/>
      </w:rPr>
      <w:tab/>
    </w:r>
    <w:r w:rsidRPr="00C92820">
      <w:rPr>
        <w:sz w:val="20"/>
        <w:szCs w:val="20"/>
      </w:rPr>
      <w:t>CA (</w:t>
    </w:r>
    <w:r w:rsidR="00306863">
      <w:rPr>
        <w:rFonts w:cs="Times New Roman"/>
        <w:sz w:val="20"/>
        <w:szCs w:val="20"/>
      </w:rPr>
      <w:t>NSP</w:t>
    </w:r>
    <w:r w:rsidR="00FF7608">
      <w:rPr>
        <w:rFonts w:cs="Times New Roman"/>
        <w:sz w:val="20"/>
        <w:szCs w:val="20"/>
      </w:rPr>
      <w:t>I</w:t>
    </w:r>
    <w:r w:rsidRPr="00C92820">
      <w:rPr>
        <w:sz w:val="20"/>
        <w:szCs w:val="20"/>
      </w:rPr>
      <w:t xml:space="preserve">) </w:t>
    </w:r>
    <w:r w:rsidRPr="00C92820">
      <w:rPr>
        <w:sz w:val="20"/>
      </w:rPr>
      <w:t xml:space="preserve">Page </w:t>
    </w:r>
    <w:r w:rsidR="001A13EA" w:rsidRPr="00C92820">
      <w:rPr>
        <w:sz w:val="20"/>
      </w:rPr>
      <w:fldChar w:fldCharType="begin"/>
    </w:r>
    <w:r w:rsidR="001A13EA" w:rsidRPr="00C92820">
      <w:rPr>
        <w:sz w:val="20"/>
      </w:rPr>
      <w:instrText xml:space="preserve"> PAGE </w:instrText>
    </w:r>
    <w:r w:rsidR="001A13EA" w:rsidRPr="00C92820">
      <w:rPr>
        <w:sz w:val="20"/>
      </w:rPr>
      <w:fldChar w:fldCharType="separate"/>
    </w:r>
    <w:r w:rsidR="005F17A5">
      <w:rPr>
        <w:noProof/>
        <w:sz w:val="20"/>
      </w:rPr>
      <w:t>1</w:t>
    </w:r>
    <w:r w:rsidR="001A13EA" w:rsidRPr="00C92820">
      <w:rPr>
        <w:sz w:val="20"/>
      </w:rPr>
      <w:fldChar w:fldCharType="end"/>
    </w:r>
    <w:r w:rsidR="001A13EA" w:rsidRPr="00C92820">
      <w:rPr>
        <w:sz w:val="20"/>
      </w:rPr>
      <w:t xml:space="preserve"> of</w:t>
    </w:r>
    <w:r w:rsidR="001A13EA">
      <w:rPr>
        <w:sz w:val="20"/>
      </w:rPr>
      <w:t xml:space="preserve"> </w:t>
    </w:r>
    <w:r w:rsidR="001A13EA" w:rsidRPr="00C92820">
      <w:rPr>
        <w:sz w:val="20"/>
      </w:rPr>
      <w:fldChar w:fldCharType="begin"/>
    </w:r>
    <w:r w:rsidR="001A13EA" w:rsidRPr="00C92820">
      <w:rPr>
        <w:sz w:val="20"/>
      </w:rPr>
      <w:instrText xml:space="preserve"> NUMPAGES </w:instrText>
    </w:r>
    <w:r w:rsidR="001A13EA" w:rsidRPr="00C92820">
      <w:rPr>
        <w:sz w:val="20"/>
      </w:rPr>
      <w:fldChar w:fldCharType="separate"/>
    </w:r>
    <w:r w:rsidR="005F17A5">
      <w:rPr>
        <w:noProof/>
        <w:sz w:val="20"/>
      </w:rPr>
      <w:t>2</w:t>
    </w:r>
    <w:r w:rsidR="001A13EA" w:rsidRPr="00C92820">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822D" w14:textId="77777777" w:rsidR="00BC6E7F" w:rsidRDefault="00BC6E7F" w:rsidP="00DA1E62">
      <w:r>
        <w:separator/>
      </w:r>
    </w:p>
  </w:footnote>
  <w:footnote w:type="continuationSeparator" w:id="0">
    <w:p w14:paraId="4EACC662" w14:textId="77777777" w:rsidR="00BC6E7F" w:rsidRDefault="00BC6E7F" w:rsidP="00DA1E62">
      <w:r>
        <w:continuationSeparator/>
      </w:r>
    </w:p>
  </w:footnote>
  <w:footnote w:type="continuationNotice" w:id="1">
    <w:p w14:paraId="1A9A2116" w14:textId="77777777" w:rsidR="00BC6E7F" w:rsidRDefault="00BC6E7F"/>
  </w:footnote>
  <w:footnote w:id="2">
    <w:p w14:paraId="5E38C520" w14:textId="77777777" w:rsidR="0024224B" w:rsidRPr="0036440B" w:rsidRDefault="0024224B" w:rsidP="0024224B">
      <w:pPr>
        <w:pStyle w:val="FootnoteText"/>
        <w:rPr>
          <w:lang w:val="en-US"/>
        </w:rPr>
      </w:pPr>
      <w:r>
        <w:rPr>
          <w:rStyle w:val="FootnoteReference"/>
        </w:rPr>
        <w:footnoteRef/>
      </w:r>
      <w:r>
        <w:t xml:space="preserve"> NS Power, Letter re: Update on Items Arising from 2024 and 2025 Annually Adjusted Rates Proceedings (January 31, 2025), Matter No. </w:t>
      </w:r>
      <w:r w:rsidRPr="003C77A4">
        <w:t>M11989</w:t>
      </w:r>
      <w:r>
        <w:t>.</w:t>
      </w:r>
    </w:p>
  </w:footnote>
  <w:footnote w:id="3">
    <w:p w14:paraId="42EF34D1" w14:textId="77777777" w:rsidR="0024224B" w:rsidRDefault="0024224B" w:rsidP="0024224B">
      <w:pPr>
        <w:pStyle w:val="FootnoteText"/>
      </w:pPr>
      <w:r>
        <w:rPr>
          <w:rStyle w:val="FootnoteReference"/>
        </w:rPr>
        <w:footnoteRef/>
      </w:r>
      <w:r>
        <w:t xml:space="preserve"> Exhibit N-2, Matter No. M11989, CA RIR-5(b).</w:t>
      </w:r>
    </w:p>
  </w:footnote>
  <w:footnote w:id="4">
    <w:p w14:paraId="6DCA07BF" w14:textId="77777777" w:rsidR="0024224B" w:rsidRPr="00A14BC3" w:rsidRDefault="0024224B" w:rsidP="0024224B">
      <w:pPr>
        <w:pStyle w:val="FootnoteText"/>
        <w:rPr>
          <w:lang w:val="en-US"/>
        </w:rPr>
      </w:pPr>
      <w:r>
        <w:rPr>
          <w:rStyle w:val="FootnoteReference"/>
        </w:rPr>
        <w:footnoteRef/>
      </w:r>
      <w:r>
        <w:t xml:space="preserve"> </w:t>
      </w:r>
      <w:r>
        <w:rPr>
          <w:lang w:val="en-US"/>
        </w:rPr>
        <w:t>Exhibit N-1, Appendix J, p. 2.</w:t>
      </w:r>
    </w:p>
  </w:footnote>
  <w:footnote w:id="5">
    <w:p w14:paraId="7A9811B6" w14:textId="77777777" w:rsidR="0024224B" w:rsidRPr="006B0867" w:rsidRDefault="0024224B" w:rsidP="0024224B">
      <w:pPr>
        <w:pStyle w:val="FootnoteText"/>
        <w:rPr>
          <w:lang w:val="en-US"/>
        </w:rPr>
      </w:pPr>
      <w:r>
        <w:rPr>
          <w:rStyle w:val="FootnoteReference"/>
        </w:rPr>
        <w:footnoteRef/>
      </w:r>
      <w:r>
        <w:t xml:space="preserve"> Exhibit N-1, Matter No. M11989, p. 17.</w:t>
      </w:r>
    </w:p>
  </w:footnote>
  <w:footnote w:id="6">
    <w:p w14:paraId="36EC5F8A" w14:textId="77777777" w:rsidR="0024224B" w:rsidRPr="00FB48D9" w:rsidRDefault="0024224B" w:rsidP="0024224B">
      <w:pPr>
        <w:pStyle w:val="FootnoteText"/>
        <w:rPr>
          <w:lang w:val="en-US"/>
        </w:rPr>
      </w:pPr>
      <w:r>
        <w:rPr>
          <w:rStyle w:val="FootnoteReference"/>
        </w:rPr>
        <w:footnoteRef/>
      </w:r>
      <w:r>
        <w:t xml:space="preserve"> </w:t>
      </w:r>
      <w:r>
        <w:rPr>
          <w:lang w:val="en-US"/>
        </w:rPr>
        <w:t>See Exhibit N-1, 2025 10-Year System Outlook, Matter No. M12386, p. 18.</w:t>
      </w:r>
    </w:p>
  </w:footnote>
  <w:footnote w:id="7">
    <w:p w14:paraId="251A04AE" w14:textId="77777777" w:rsidR="0024224B" w:rsidRPr="00216298" w:rsidRDefault="0024224B" w:rsidP="0024224B">
      <w:pPr>
        <w:pStyle w:val="FootnoteText"/>
        <w:rPr>
          <w:lang w:val="en-US"/>
        </w:rPr>
      </w:pPr>
      <w:r>
        <w:rPr>
          <w:rStyle w:val="FootnoteReference"/>
        </w:rPr>
        <w:footnoteRef/>
      </w:r>
      <w:r>
        <w:t xml:space="preserve"> </w:t>
      </w:r>
      <w:r>
        <w:rPr>
          <w:lang w:val="en-US"/>
        </w:rPr>
        <w:t>Exhibit N-1, p. 20.</w:t>
      </w:r>
    </w:p>
  </w:footnote>
  <w:footnote w:id="8">
    <w:p w14:paraId="72324EFD" w14:textId="77777777" w:rsidR="0024224B" w:rsidRPr="00856B54" w:rsidRDefault="0024224B" w:rsidP="0024224B">
      <w:pPr>
        <w:pStyle w:val="FootnoteText"/>
        <w:rPr>
          <w:lang w:val="en-US"/>
        </w:rPr>
      </w:pPr>
      <w:r>
        <w:rPr>
          <w:rStyle w:val="FootnoteReference"/>
        </w:rPr>
        <w:footnoteRef/>
      </w:r>
      <w:r>
        <w:t xml:space="preserve"> </w:t>
      </w:r>
      <w:r>
        <w:rPr>
          <w:lang w:val="en-US"/>
        </w:rPr>
        <w:t>Exhibit N-1, Appendix J, p. 3.</w:t>
      </w:r>
    </w:p>
  </w:footnote>
  <w:footnote w:id="9">
    <w:p w14:paraId="0F0D4091" w14:textId="77777777" w:rsidR="0024224B" w:rsidRPr="006A412B" w:rsidRDefault="0024224B" w:rsidP="0024224B">
      <w:pPr>
        <w:pStyle w:val="FootnoteText"/>
        <w:rPr>
          <w:lang w:val="en-US"/>
        </w:rPr>
      </w:pPr>
      <w:r>
        <w:rPr>
          <w:rStyle w:val="FootnoteReference"/>
        </w:rPr>
        <w:footnoteRef/>
      </w:r>
      <w:r>
        <w:t xml:space="preserve"> </w:t>
      </w:r>
      <w:r>
        <w:rPr>
          <w:lang w:val="en-US"/>
        </w:rPr>
        <w:t>Exhibit N-1, Matter No. M08383, p. 8.</w:t>
      </w:r>
    </w:p>
  </w:footnote>
  <w:footnote w:id="10">
    <w:p w14:paraId="0A72A982" w14:textId="77777777" w:rsidR="0024224B" w:rsidRPr="006A412B" w:rsidRDefault="0024224B" w:rsidP="0024224B">
      <w:pPr>
        <w:pStyle w:val="FootnoteText"/>
        <w:rPr>
          <w:lang w:val="en-US"/>
        </w:rPr>
      </w:pPr>
      <w:r>
        <w:rPr>
          <w:rStyle w:val="FootnoteReference"/>
        </w:rPr>
        <w:footnoteRef/>
      </w:r>
      <w:r>
        <w:t xml:space="preserve"> </w:t>
      </w:r>
      <w:r>
        <w:rPr>
          <w:lang w:val="en-US"/>
        </w:rPr>
        <w:t>Exhibit N-1, Matter No. M08383, p. 8.</w:t>
      </w:r>
    </w:p>
  </w:footnote>
  <w:footnote w:id="11">
    <w:p w14:paraId="30315BAF" w14:textId="77777777" w:rsidR="00AA44CE" w:rsidRPr="0010487B" w:rsidRDefault="00AA44CE" w:rsidP="00AA44CE">
      <w:pPr>
        <w:pStyle w:val="FootnoteText"/>
        <w:rPr>
          <w:lang w:val="en-US"/>
        </w:rPr>
      </w:pPr>
      <w:r>
        <w:rPr>
          <w:rStyle w:val="FootnoteReference"/>
        </w:rPr>
        <w:footnoteRef/>
      </w:r>
      <w:r>
        <w:t xml:space="preserve"> NSUARB Decision, </w:t>
      </w:r>
      <w:r>
        <w:rPr>
          <w:lang w:val="en-US"/>
        </w:rPr>
        <w:t>Matter No. M08383, p. 5-6.</w:t>
      </w:r>
    </w:p>
  </w:footnote>
  <w:footnote w:id="12">
    <w:p w14:paraId="7097075D" w14:textId="77777777" w:rsidR="00AA44CE" w:rsidRPr="006A412B" w:rsidRDefault="00AA44CE" w:rsidP="00AA44CE">
      <w:pPr>
        <w:pStyle w:val="FootnoteText"/>
        <w:rPr>
          <w:lang w:val="en-US"/>
        </w:rPr>
      </w:pPr>
      <w:r>
        <w:rPr>
          <w:rStyle w:val="FootnoteReference"/>
        </w:rPr>
        <w:footnoteRef/>
      </w:r>
      <w:r>
        <w:t xml:space="preserve"> </w:t>
      </w:r>
      <w:r>
        <w:rPr>
          <w:lang w:val="en-US"/>
        </w:rPr>
        <w:t>Exhibit N-1, Matter No. M08383, p.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053C"/>
    <w:multiLevelType w:val="multilevel"/>
    <w:tmpl w:val="C41C14A8"/>
    <w:lvl w:ilvl="0">
      <w:start w:val="1"/>
      <w:numFmt w:val="decimal"/>
      <w:lvlText w:val="Request IR-%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2E2DC5"/>
    <w:multiLevelType w:val="hybridMultilevel"/>
    <w:tmpl w:val="4DF2BD9C"/>
    <w:lvl w:ilvl="0" w:tplc="10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156D52"/>
    <w:multiLevelType w:val="hybridMultilevel"/>
    <w:tmpl w:val="69C0544E"/>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1C347CA"/>
    <w:multiLevelType w:val="hybridMultilevel"/>
    <w:tmpl w:val="218C7A68"/>
    <w:lvl w:ilvl="0" w:tplc="FFFFFFFF">
      <w:start w:val="1"/>
      <w:numFmt w:val="lowerLetter"/>
      <w:lvlText w:val="(%1)"/>
      <w:lvlJc w:val="left"/>
      <w:pPr>
        <w:ind w:left="1080" w:hanging="360"/>
      </w:pPr>
      <w:rPr>
        <w:rFonts w:hint="default"/>
      </w:rPr>
    </w:lvl>
    <w:lvl w:ilvl="1" w:tplc="FFFFFFFF">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7D410FB"/>
    <w:multiLevelType w:val="hybridMultilevel"/>
    <w:tmpl w:val="3E24769A"/>
    <w:lvl w:ilvl="0" w:tplc="0409001B">
      <w:start w:val="1"/>
      <w:numFmt w:val="lowerRoman"/>
      <w:lvlText w:val="%1."/>
      <w:lvlJc w:val="right"/>
      <w:pPr>
        <w:ind w:left="2160" w:hanging="18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97F05F0"/>
    <w:multiLevelType w:val="hybridMultilevel"/>
    <w:tmpl w:val="70DE744C"/>
    <w:lvl w:ilvl="0" w:tplc="7F6E2E30">
      <w:start w:val="1"/>
      <w:numFmt w:val="decimal"/>
      <w:lvlText w:val="Request IR-%1:"/>
      <w:lvlJc w:val="left"/>
      <w:pPr>
        <w:ind w:left="567" w:firstLine="0"/>
      </w:pPr>
      <w:rPr>
        <w:rFonts w:asciiTheme="minorHAnsi" w:hAnsiTheme="minorHAnsi" w:cstheme="minorHAnsi" w:hint="default"/>
        <w:b/>
        <w:i w:val="0"/>
        <w:color w:val="000000" w:themeColor="text1"/>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64038"/>
    <w:multiLevelType w:val="hybridMultilevel"/>
    <w:tmpl w:val="D592EF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A4D8D"/>
    <w:multiLevelType w:val="hybridMultilevel"/>
    <w:tmpl w:val="D26ABF9A"/>
    <w:lvl w:ilvl="0" w:tplc="7EACF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6929A0"/>
    <w:multiLevelType w:val="hybridMultilevel"/>
    <w:tmpl w:val="218C7A68"/>
    <w:lvl w:ilvl="0" w:tplc="FFFFFFFF">
      <w:start w:val="1"/>
      <w:numFmt w:val="lowerLetter"/>
      <w:lvlText w:val="(%1)"/>
      <w:lvlJc w:val="left"/>
      <w:pPr>
        <w:ind w:left="1080" w:hanging="360"/>
      </w:pPr>
      <w:rPr>
        <w:rFonts w:hint="default"/>
      </w:rPr>
    </w:lvl>
    <w:lvl w:ilvl="1" w:tplc="FFFFFFFF">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B80428B"/>
    <w:multiLevelType w:val="hybridMultilevel"/>
    <w:tmpl w:val="2DBA7DD2"/>
    <w:lvl w:ilvl="0" w:tplc="04090019">
      <w:start w:val="1"/>
      <w:numFmt w:val="lowerLetter"/>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25421CC"/>
    <w:multiLevelType w:val="hybridMultilevel"/>
    <w:tmpl w:val="89561FDC"/>
    <w:lvl w:ilvl="0" w:tplc="04090019">
      <w:start w:val="1"/>
      <w:numFmt w:val="lowerLetter"/>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795293E"/>
    <w:multiLevelType w:val="multilevel"/>
    <w:tmpl w:val="E73C80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8A186C"/>
    <w:multiLevelType w:val="hybridMultilevel"/>
    <w:tmpl w:val="49688184"/>
    <w:lvl w:ilvl="0" w:tplc="04090019">
      <w:start w:val="1"/>
      <w:numFmt w:val="lowerLetter"/>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02E20B0"/>
    <w:multiLevelType w:val="multilevel"/>
    <w:tmpl w:val="8F228720"/>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4B41976"/>
    <w:multiLevelType w:val="hybridMultilevel"/>
    <w:tmpl w:val="1A881764"/>
    <w:lvl w:ilvl="0" w:tplc="10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D55B89"/>
    <w:multiLevelType w:val="hybridMultilevel"/>
    <w:tmpl w:val="9EEEBBE2"/>
    <w:lvl w:ilvl="0" w:tplc="0409001B">
      <w:start w:val="1"/>
      <w:numFmt w:val="lowerRoman"/>
      <w:lvlText w:val="%1."/>
      <w:lvlJc w:val="right"/>
      <w:pPr>
        <w:ind w:left="2160" w:hanging="18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81A6D8B"/>
    <w:multiLevelType w:val="hybridMultilevel"/>
    <w:tmpl w:val="218C7A68"/>
    <w:lvl w:ilvl="0" w:tplc="FFFFFFFF">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BC83706"/>
    <w:multiLevelType w:val="hybridMultilevel"/>
    <w:tmpl w:val="3E24769A"/>
    <w:lvl w:ilvl="0" w:tplc="0409001B">
      <w:start w:val="1"/>
      <w:numFmt w:val="lowerRoman"/>
      <w:lvlText w:val="%1."/>
      <w:lvlJc w:val="right"/>
      <w:pPr>
        <w:ind w:left="2160" w:hanging="18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BED35AB"/>
    <w:multiLevelType w:val="hybridMultilevel"/>
    <w:tmpl w:val="48369E1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6310C15"/>
    <w:multiLevelType w:val="hybridMultilevel"/>
    <w:tmpl w:val="1228FFA6"/>
    <w:lvl w:ilvl="0" w:tplc="73ECA426">
      <w:start w:val="1"/>
      <w:numFmt w:val="decimal"/>
      <w:lvlText w:val="Request IR-%1:"/>
      <w:lvlJc w:val="left"/>
      <w:pPr>
        <w:ind w:left="720" w:hanging="360"/>
      </w:pPr>
      <w:rPr>
        <w:rFonts w:hint="default"/>
        <w:b/>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9241EC9"/>
    <w:multiLevelType w:val="hybridMultilevel"/>
    <w:tmpl w:val="9EEEBBE2"/>
    <w:lvl w:ilvl="0" w:tplc="0409001B">
      <w:start w:val="1"/>
      <w:numFmt w:val="lowerRoman"/>
      <w:lvlText w:val="%1."/>
      <w:lvlJc w:val="right"/>
      <w:pPr>
        <w:ind w:left="2160" w:hanging="18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82532038">
    <w:abstractNumId w:val="19"/>
  </w:num>
  <w:num w:numId="2" w16cid:durableId="1832403260">
    <w:abstractNumId w:val="0"/>
  </w:num>
  <w:num w:numId="3" w16cid:durableId="1632596544">
    <w:abstractNumId w:val="14"/>
  </w:num>
  <w:num w:numId="4" w16cid:durableId="1102144160">
    <w:abstractNumId w:val="2"/>
  </w:num>
  <w:num w:numId="5" w16cid:durableId="186406820">
    <w:abstractNumId w:val="1"/>
  </w:num>
  <w:num w:numId="6" w16cid:durableId="2033338305">
    <w:abstractNumId w:val="13"/>
  </w:num>
  <w:num w:numId="7" w16cid:durableId="1257864370">
    <w:abstractNumId w:val="11"/>
  </w:num>
  <w:num w:numId="8" w16cid:durableId="1229531206">
    <w:abstractNumId w:val="7"/>
  </w:num>
  <w:num w:numId="9" w16cid:durableId="2009481229">
    <w:abstractNumId w:val="6"/>
  </w:num>
  <w:num w:numId="10" w16cid:durableId="1446076624">
    <w:abstractNumId w:val="10"/>
  </w:num>
  <w:num w:numId="11" w16cid:durableId="1639799854">
    <w:abstractNumId w:val="12"/>
  </w:num>
  <w:num w:numId="12" w16cid:durableId="1856579335">
    <w:abstractNumId w:val="15"/>
  </w:num>
  <w:num w:numId="13" w16cid:durableId="5181281">
    <w:abstractNumId w:val="20"/>
  </w:num>
  <w:num w:numId="14" w16cid:durableId="1159539453">
    <w:abstractNumId w:val="9"/>
  </w:num>
  <w:num w:numId="15" w16cid:durableId="868834413">
    <w:abstractNumId w:val="17"/>
  </w:num>
  <w:num w:numId="16" w16cid:durableId="284579103">
    <w:abstractNumId w:val="4"/>
  </w:num>
  <w:num w:numId="17" w16cid:durableId="1573351164">
    <w:abstractNumId w:val="5"/>
  </w:num>
  <w:num w:numId="18" w16cid:durableId="1947301335">
    <w:abstractNumId w:val="18"/>
  </w:num>
  <w:num w:numId="19" w16cid:durableId="1252351806">
    <w:abstractNumId w:val="16"/>
  </w:num>
  <w:num w:numId="20" w16cid:durableId="458494765">
    <w:abstractNumId w:val="8"/>
  </w:num>
  <w:num w:numId="21" w16cid:durableId="142476566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FE"/>
    <w:rsid w:val="000049F8"/>
    <w:rsid w:val="00017C65"/>
    <w:rsid w:val="00031932"/>
    <w:rsid w:val="00080B8F"/>
    <w:rsid w:val="0008342D"/>
    <w:rsid w:val="000B580E"/>
    <w:rsid w:val="000E09EA"/>
    <w:rsid w:val="000E2DBA"/>
    <w:rsid w:val="0010036C"/>
    <w:rsid w:val="00100BA0"/>
    <w:rsid w:val="001101F0"/>
    <w:rsid w:val="00120B97"/>
    <w:rsid w:val="0012329D"/>
    <w:rsid w:val="00127E96"/>
    <w:rsid w:val="00136440"/>
    <w:rsid w:val="00140374"/>
    <w:rsid w:val="00153613"/>
    <w:rsid w:val="00155197"/>
    <w:rsid w:val="00157AFE"/>
    <w:rsid w:val="0016324C"/>
    <w:rsid w:val="00166189"/>
    <w:rsid w:val="001710FA"/>
    <w:rsid w:val="00183A0A"/>
    <w:rsid w:val="00192FF0"/>
    <w:rsid w:val="001A13EA"/>
    <w:rsid w:val="001B0D29"/>
    <w:rsid w:val="001B2680"/>
    <w:rsid w:val="001D376A"/>
    <w:rsid w:val="001E113E"/>
    <w:rsid w:val="001F5677"/>
    <w:rsid w:val="002011E5"/>
    <w:rsid w:val="00201AAC"/>
    <w:rsid w:val="00205127"/>
    <w:rsid w:val="00220F2F"/>
    <w:rsid w:val="0022156D"/>
    <w:rsid w:val="0024224B"/>
    <w:rsid w:val="0024330C"/>
    <w:rsid w:val="00247F4F"/>
    <w:rsid w:val="00251058"/>
    <w:rsid w:val="002664C4"/>
    <w:rsid w:val="00266A2E"/>
    <w:rsid w:val="00271791"/>
    <w:rsid w:val="0027370F"/>
    <w:rsid w:val="00282583"/>
    <w:rsid w:val="0028387A"/>
    <w:rsid w:val="002846F9"/>
    <w:rsid w:val="002863B4"/>
    <w:rsid w:val="002906F7"/>
    <w:rsid w:val="002A53A8"/>
    <w:rsid w:val="002B2F7E"/>
    <w:rsid w:val="002B6ADE"/>
    <w:rsid w:val="002B744D"/>
    <w:rsid w:val="002D31BB"/>
    <w:rsid w:val="002D73BF"/>
    <w:rsid w:val="002E110A"/>
    <w:rsid w:val="002F29A5"/>
    <w:rsid w:val="00306863"/>
    <w:rsid w:val="00310AD3"/>
    <w:rsid w:val="00317F09"/>
    <w:rsid w:val="00326BD0"/>
    <w:rsid w:val="003303CA"/>
    <w:rsid w:val="00342522"/>
    <w:rsid w:val="0034700D"/>
    <w:rsid w:val="003507D6"/>
    <w:rsid w:val="00361583"/>
    <w:rsid w:val="003805ED"/>
    <w:rsid w:val="003A55D0"/>
    <w:rsid w:val="003A5AA8"/>
    <w:rsid w:val="003C2AF1"/>
    <w:rsid w:val="003C4FF8"/>
    <w:rsid w:val="003D56B7"/>
    <w:rsid w:val="003E6D7C"/>
    <w:rsid w:val="003F329D"/>
    <w:rsid w:val="003F74B2"/>
    <w:rsid w:val="00406DBA"/>
    <w:rsid w:val="00411317"/>
    <w:rsid w:val="00412F61"/>
    <w:rsid w:val="00413BEC"/>
    <w:rsid w:val="00422DFB"/>
    <w:rsid w:val="00424037"/>
    <w:rsid w:val="00452EF2"/>
    <w:rsid w:val="0045501E"/>
    <w:rsid w:val="00460B50"/>
    <w:rsid w:val="00484B71"/>
    <w:rsid w:val="00492510"/>
    <w:rsid w:val="004A50AA"/>
    <w:rsid w:val="004B1F01"/>
    <w:rsid w:val="004C0910"/>
    <w:rsid w:val="004C23D8"/>
    <w:rsid w:val="004D2169"/>
    <w:rsid w:val="004E4562"/>
    <w:rsid w:val="004F1A7A"/>
    <w:rsid w:val="005073CC"/>
    <w:rsid w:val="00511B44"/>
    <w:rsid w:val="0051682A"/>
    <w:rsid w:val="00523F9C"/>
    <w:rsid w:val="00531405"/>
    <w:rsid w:val="00537A20"/>
    <w:rsid w:val="00540AD8"/>
    <w:rsid w:val="00542ADC"/>
    <w:rsid w:val="005463F0"/>
    <w:rsid w:val="00550577"/>
    <w:rsid w:val="00554DF0"/>
    <w:rsid w:val="00561BD0"/>
    <w:rsid w:val="0058001F"/>
    <w:rsid w:val="005809D8"/>
    <w:rsid w:val="0058198C"/>
    <w:rsid w:val="005915E3"/>
    <w:rsid w:val="00592A0A"/>
    <w:rsid w:val="00592D47"/>
    <w:rsid w:val="00594C29"/>
    <w:rsid w:val="0059639F"/>
    <w:rsid w:val="0059640A"/>
    <w:rsid w:val="005B342D"/>
    <w:rsid w:val="005F17A5"/>
    <w:rsid w:val="005F30C1"/>
    <w:rsid w:val="005F7EEC"/>
    <w:rsid w:val="0060157F"/>
    <w:rsid w:val="00602884"/>
    <w:rsid w:val="00614888"/>
    <w:rsid w:val="00616A8F"/>
    <w:rsid w:val="006205E4"/>
    <w:rsid w:val="0062323C"/>
    <w:rsid w:val="0062581E"/>
    <w:rsid w:val="006327C4"/>
    <w:rsid w:val="00642022"/>
    <w:rsid w:val="00645B55"/>
    <w:rsid w:val="00654B78"/>
    <w:rsid w:val="0066308D"/>
    <w:rsid w:val="006646B7"/>
    <w:rsid w:val="00670FAC"/>
    <w:rsid w:val="00672BDC"/>
    <w:rsid w:val="006B02A2"/>
    <w:rsid w:val="006B248C"/>
    <w:rsid w:val="006C6261"/>
    <w:rsid w:val="006D4F38"/>
    <w:rsid w:val="006F63A5"/>
    <w:rsid w:val="007043A5"/>
    <w:rsid w:val="00711DA3"/>
    <w:rsid w:val="007266AA"/>
    <w:rsid w:val="007358B4"/>
    <w:rsid w:val="00741655"/>
    <w:rsid w:val="00744A8F"/>
    <w:rsid w:val="00754E75"/>
    <w:rsid w:val="00755704"/>
    <w:rsid w:val="00755B8E"/>
    <w:rsid w:val="00763EA6"/>
    <w:rsid w:val="007673BA"/>
    <w:rsid w:val="007678CA"/>
    <w:rsid w:val="007777BD"/>
    <w:rsid w:val="007779E9"/>
    <w:rsid w:val="00782CC7"/>
    <w:rsid w:val="007D4F94"/>
    <w:rsid w:val="007D6DFE"/>
    <w:rsid w:val="007F1DD9"/>
    <w:rsid w:val="007F7E4F"/>
    <w:rsid w:val="008046E6"/>
    <w:rsid w:val="008133FF"/>
    <w:rsid w:val="00814B81"/>
    <w:rsid w:val="008469BB"/>
    <w:rsid w:val="00846E43"/>
    <w:rsid w:val="00846F7C"/>
    <w:rsid w:val="0085739C"/>
    <w:rsid w:val="00875F19"/>
    <w:rsid w:val="00877F1E"/>
    <w:rsid w:val="00882972"/>
    <w:rsid w:val="00882C3B"/>
    <w:rsid w:val="00887DB1"/>
    <w:rsid w:val="008A673A"/>
    <w:rsid w:val="008D1F67"/>
    <w:rsid w:val="008D4FCC"/>
    <w:rsid w:val="008E04BD"/>
    <w:rsid w:val="008E5F3F"/>
    <w:rsid w:val="008E6BA8"/>
    <w:rsid w:val="008F07CB"/>
    <w:rsid w:val="008F11B4"/>
    <w:rsid w:val="00900820"/>
    <w:rsid w:val="0091487F"/>
    <w:rsid w:val="00915F2F"/>
    <w:rsid w:val="009214A7"/>
    <w:rsid w:val="009332B9"/>
    <w:rsid w:val="00965D06"/>
    <w:rsid w:val="00966C7B"/>
    <w:rsid w:val="009701C0"/>
    <w:rsid w:val="0098215F"/>
    <w:rsid w:val="00992C7E"/>
    <w:rsid w:val="009B2199"/>
    <w:rsid w:val="009C13B2"/>
    <w:rsid w:val="009C2BF4"/>
    <w:rsid w:val="009D4DBB"/>
    <w:rsid w:val="009E07B0"/>
    <w:rsid w:val="009E330A"/>
    <w:rsid w:val="009E5D08"/>
    <w:rsid w:val="009F1B31"/>
    <w:rsid w:val="00A1366E"/>
    <w:rsid w:val="00A1650F"/>
    <w:rsid w:val="00A172AA"/>
    <w:rsid w:val="00A30BA6"/>
    <w:rsid w:val="00A41E85"/>
    <w:rsid w:val="00A50321"/>
    <w:rsid w:val="00A50CDB"/>
    <w:rsid w:val="00A5441A"/>
    <w:rsid w:val="00A73BC0"/>
    <w:rsid w:val="00A80B62"/>
    <w:rsid w:val="00A8262E"/>
    <w:rsid w:val="00A85280"/>
    <w:rsid w:val="00A917DD"/>
    <w:rsid w:val="00A92658"/>
    <w:rsid w:val="00AA2885"/>
    <w:rsid w:val="00AA44CE"/>
    <w:rsid w:val="00AC14FE"/>
    <w:rsid w:val="00AC18D1"/>
    <w:rsid w:val="00AE2775"/>
    <w:rsid w:val="00AE4E48"/>
    <w:rsid w:val="00B0173A"/>
    <w:rsid w:val="00B02144"/>
    <w:rsid w:val="00B13CEE"/>
    <w:rsid w:val="00B22A82"/>
    <w:rsid w:val="00B43F41"/>
    <w:rsid w:val="00B50500"/>
    <w:rsid w:val="00B52F00"/>
    <w:rsid w:val="00B54A22"/>
    <w:rsid w:val="00B77E2C"/>
    <w:rsid w:val="00B84693"/>
    <w:rsid w:val="00B853ED"/>
    <w:rsid w:val="00B861AE"/>
    <w:rsid w:val="00B94C90"/>
    <w:rsid w:val="00BA0F53"/>
    <w:rsid w:val="00BA3A91"/>
    <w:rsid w:val="00BB6A47"/>
    <w:rsid w:val="00BC2DDE"/>
    <w:rsid w:val="00BC59A8"/>
    <w:rsid w:val="00BC6E7F"/>
    <w:rsid w:val="00BC7CFE"/>
    <w:rsid w:val="00BD232B"/>
    <w:rsid w:val="00BD420B"/>
    <w:rsid w:val="00BD4FDC"/>
    <w:rsid w:val="00BD7D02"/>
    <w:rsid w:val="00BE0EAB"/>
    <w:rsid w:val="00BE100F"/>
    <w:rsid w:val="00BF1023"/>
    <w:rsid w:val="00C017E1"/>
    <w:rsid w:val="00C0498A"/>
    <w:rsid w:val="00C05FFD"/>
    <w:rsid w:val="00C21DD4"/>
    <w:rsid w:val="00C261F8"/>
    <w:rsid w:val="00C31341"/>
    <w:rsid w:val="00C4195E"/>
    <w:rsid w:val="00C6619D"/>
    <w:rsid w:val="00C73D6D"/>
    <w:rsid w:val="00C91413"/>
    <w:rsid w:val="00CA4B4A"/>
    <w:rsid w:val="00CC7EC5"/>
    <w:rsid w:val="00CE406F"/>
    <w:rsid w:val="00CE4B88"/>
    <w:rsid w:val="00CF140E"/>
    <w:rsid w:val="00CF26D8"/>
    <w:rsid w:val="00CF51BC"/>
    <w:rsid w:val="00D00EE9"/>
    <w:rsid w:val="00D05224"/>
    <w:rsid w:val="00D133E1"/>
    <w:rsid w:val="00D24F26"/>
    <w:rsid w:val="00D25509"/>
    <w:rsid w:val="00D27681"/>
    <w:rsid w:val="00D27794"/>
    <w:rsid w:val="00D34428"/>
    <w:rsid w:val="00D3787A"/>
    <w:rsid w:val="00D400CE"/>
    <w:rsid w:val="00D42BD1"/>
    <w:rsid w:val="00D60C60"/>
    <w:rsid w:val="00D655D4"/>
    <w:rsid w:val="00D661ED"/>
    <w:rsid w:val="00D849E1"/>
    <w:rsid w:val="00DA1E62"/>
    <w:rsid w:val="00DA2159"/>
    <w:rsid w:val="00DA52CD"/>
    <w:rsid w:val="00DB7F19"/>
    <w:rsid w:val="00DC1A94"/>
    <w:rsid w:val="00DD4FAC"/>
    <w:rsid w:val="00DE1A13"/>
    <w:rsid w:val="00DE4ED4"/>
    <w:rsid w:val="00DF0BDA"/>
    <w:rsid w:val="00E04497"/>
    <w:rsid w:val="00E06B40"/>
    <w:rsid w:val="00E32329"/>
    <w:rsid w:val="00E4124D"/>
    <w:rsid w:val="00E52CA6"/>
    <w:rsid w:val="00E674E3"/>
    <w:rsid w:val="00E7276F"/>
    <w:rsid w:val="00E73F0D"/>
    <w:rsid w:val="00E7411B"/>
    <w:rsid w:val="00E75365"/>
    <w:rsid w:val="00E82F63"/>
    <w:rsid w:val="00E90503"/>
    <w:rsid w:val="00E91132"/>
    <w:rsid w:val="00EA0696"/>
    <w:rsid w:val="00EA0EDC"/>
    <w:rsid w:val="00EB2704"/>
    <w:rsid w:val="00EC2F20"/>
    <w:rsid w:val="00EC44ED"/>
    <w:rsid w:val="00EE46E8"/>
    <w:rsid w:val="00F162D2"/>
    <w:rsid w:val="00F20F2D"/>
    <w:rsid w:val="00F22BC5"/>
    <w:rsid w:val="00F44AA0"/>
    <w:rsid w:val="00F52194"/>
    <w:rsid w:val="00F67DB1"/>
    <w:rsid w:val="00F67E2D"/>
    <w:rsid w:val="00F90835"/>
    <w:rsid w:val="00F90B24"/>
    <w:rsid w:val="00F93561"/>
    <w:rsid w:val="00F93EC8"/>
    <w:rsid w:val="00F94D6C"/>
    <w:rsid w:val="00F9500D"/>
    <w:rsid w:val="00FA45AE"/>
    <w:rsid w:val="00FB1EEC"/>
    <w:rsid w:val="00FB31A4"/>
    <w:rsid w:val="00FB704B"/>
    <w:rsid w:val="00FB7A6D"/>
    <w:rsid w:val="00FD4116"/>
    <w:rsid w:val="00FD49FF"/>
    <w:rsid w:val="00FD72E3"/>
    <w:rsid w:val="00FE3047"/>
    <w:rsid w:val="00FE6D04"/>
    <w:rsid w:val="00FF2453"/>
    <w:rsid w:val="00FF7608"/>
  </w:rsids>
  <m:mathPr>
    <m:mathFont m:val="Cambria Math"/>
    <m:brkBin m:val="before"/>
    <m:brkBinSub m:val="--"/>
    <m:smallFrac m:val="0"/>
    <m:dispDef/>
    <m:lMargin m:val="0"/>
    <m:rMargin m:val="0"/>
    <m:defJc m:val="centerGroup"/>
    <m:wrapIndent m:val="1440"/>
    <m:intLim m:val="subSup"/>
    <m:naryLim m:val="undOvr"/>
  </m:mathPr>
  <w:themeFontLang w:val="en-CA"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7BDD"/>
  <w15:docId w15:val="{4B8AE82E-0D2E-44B3-A487-7FD2A63C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19D"/>
  </w:style>
  <w:style w:type="paragraph" w:styleId="Heading1">
    <w:name w:val="heading 1"/>
    <w:basedOn w:val="Normal"/>
    <w:next w:val="Normal"/>
    <w:link w:val="Heading1Char"/>
    <w:uiPriority w:val="9"/>
    <w:qFormat/>
    <w:rsid w:val="003A5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qFormat/>
    <w:rsid w:val="003A5AA8"/>
    <w:pPr>
      <w:spacing w:before="200" w:after="160" w:line="330" w:lineRule="atLeast"/>
      <w:ind w:left="720" w:hanging="720"/>
      <w:jc w:val="left"/>
      <w:outlineLvl w:val="1"/>
    </w:pPr>
    <w:rPr>
      <w:rFonts w:ascii="Arial" w:eastAsiaTheme="minorEastAsia" w:hAnsi="Arial" w:cs="Times New Roman"/>
      <w:bCs w:val="0"/>
      <w:color w:val="auto"/>
      <w:sz w:val="3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1E62"/>
    <w:pPr>
      <w:tabs>
        <w:tab w:val="center" w:pos="4680"/>
        <w:tab w:val="right" w:pos="9360"/>
      </w:tabs>
    </w:pPr>
  </w:style>
  <w:style w:type="character" w:customStyle="1" w:styleId="HeaderChar">
    <w:name w:val="Header Char"/>
    <w:basedOn w:val="DefaultParagraphFont"/>
    <w:link w:val="Header"/>
    <w:uiPriority w:val="99"/>
    <w:rsid w:val="00DA1E62"/>
  </w:style>
  <w:style w:type="paragraph" w:styleId="Footer">
    <w:name w:val="footer"/>
    <w:basedOn w:val="Normal"/>
    <w:link w:val="FooterChar"/>
    <w:uiPriority w:val="99"/>
    <w:unhideWhenUsed/>
    <w:rsid w:val="00DA1E62"/>
    <w:pPr>
      <w:tabs>
        <w:tab w:val="center" w:pos="4680"/>
        <w:tab w:val="right" w:pos="9360"/>
      </w:tabs>
    </w:pPr>
  </w:style>
  <w:style w:type="character" w:customStyle="1" w:styleId="FooterChar">
    <w:name w:val="Footer Char"/>
    <w:basedOn w:val="DefaultParagraphFont"/>
    <w:link w:val="Footer"/>
    <w:uiPriority w:val="99"/>
    <w:rsid w:val="00DA1E62"/>
  </w:style>
  <w:style w:type="paragraph" w:styleId="EnvelopeAddress">
    <w:name w:val="envelope address"/>
    <w:basedOn w:val="Normal"/>
    <w:uiPriority w:val="99"/>
    <w:unhideWhenUsed/>
    <w:rsid w:val="009332B9"/>
    <w:pPr>
      <w:framePr w:w="7920" w:h="1980" w:hRule="exact" w:hSpace="180" w:wrap="auto" w:vAnchor="page" w:hAnchor="page" w:xAlign="center" w:y="2305"/>
      <w:ind w:left="2880"/>
      <w:jc w:val="left"/>
    </w:pPr>
    <w:rPr>
      <w:rFonts w:eastAsiaTheme="majorEastAsia" w:cstheme="majorBidi"/>
    </w:rPr>
  </w:style>
  <w:style w:type="paragraph" w:styleId="EnvelopeReturn">
    <w:name w:val="envelope return"/>
    <w:basedOn w:val="Normal"/>
    <w:uiPriority w:val="99"/>
    <w:unhideWhenUsed/>
    <w:rsid w:val="009332B9"/>
    <w:pPr>
      <w:jc w:val="left"/>
    </w:pPr>
    <w:rPr>
      <w:rFonts w:asciiTheme="majorHAnsi" w:eastAsiaTheme="majorEastAsia" w:hAnsiTheme="majorHAnsi" w:cstheme="majorBidi"/>
      <w:sz w:val="20"/>
      <w:szCs w:val="20"/>
    </w:rPr>
  </w:style>
  <w:style w:type="paragraph" w:styleId="ListParagraph">
    <w:name w:val="List Paragraph"/>
    <w:basedOn w:val="Normal"/>
    <w:uiPriority w:val="34"/>
    <w:qFormat/>
    <w:rsid w:val="006C6261"/>
    <w:pPr>
      <w:ind w:left="720"/>
      <w:contextualSpacing/>
    </w:pPr>
  </w:style>
  <w:style w:type="character" w:styleId="LineNumber">
    <w:name w:val="line number"/>
    <w:basedOn w:val="DefaultParagraphFont"/>
    <w:uiPriority w:val="99"/>
    <w:semiHidden/>
    <w:unhideWhenUsed/>
    <w:rsid w:val="00C6619D"/>
    <w:rPr>
      <w:rFonts w:asciiTheme="minorHAnsi" w:hAnsiTheme="minorHAnsi"/>
      <w:sz w:val="24"/>
    </w:rPr>
  </w:style>
  <w:style w:type="paragraph" w:styleId="BalloonText">
    <w:name w:val="Balloon Text"/>
    <w:basedOn w:val="Normal"/>
    <w:link w:val="BalloonTextChar"/>
    <w:uiPriority w:val="99"/>
    <w:semiHidden/>
    <w:unhideWhenUsed/>
    <w:rsid w:val="00EB2704"/>
    <w:rPr>
      <w:rFonts w:ascii="Tahoma" w:hAnsi="Tahoma" w:cs="Tahoma"/>
      <w:sz w:val="16"/>
      <w:szCs w:val="16"/>
    </w:rPr>
  </w:style>
  <w:style w:type="character" w:customStyle="1" w:styleId="BalloonTextChar">
    <w:name w:val="Balloon Text Char"/>
    <w:basedOn w:val="DefaultParagraphFont"/>
    <w:link w:val="BalloonText"/>
    <w:uiPriority w:val="99"/>
    <w:semiHidden/>
    <w:rsid w:val="00EB2704"/>
    <w:rPr>
      <w:rFonts w:ascii="Tahoma" w:hAnsi="Tahoma" w:cs="Tahoma"/>
      <w:sz w:val="16"/>
      <w:szCs w:val="16"/>
    </w:rPr>
  </w:style>
  <w:style w:type="paragraph" w:styleId="List">
    <w:name w:val="List"/>
    <w:basedOn w:val="Normal"/>
    <w:rsid w:val="000E2DBA"/>
    <w:pPr>
      <w:spacing w:after="160" w:line="360" w:lineRule="atLeast"/>
      <w:ind w:left="547" w:hanging="547"/>
      <w:jc w:val="left"/>
    </w:pPr>
    <w:rPr>
      <w:rFonts w:cs="Times New Roman"/>
      <w:sz w:val="26"/>
      <w:lang w:val="en-US"/>
    </w:rPr>
  </w:style>
  <w:style w:type="character" w:styleId="Hyperlink">
    <w:name w:val="Hyperlink"/>
    <w:basedOn w:val="DefaultParagraphFont"/>
    <w:uiPriority w:val="99"/>
    <w:unhideWhenUsed/>
    <w:rsid w:val="00814B81"/>
    <w:rPr>
      <w:color w:val="0000FF" w:themeColor="hyperlink"/>
      <w:u w:val="single"/>
    </w:rPr>
  </w:style>
  <w:style w:type="table" w:styleId="TableGrid">
    <w:name w:val="Table Grid"/>
    <w:basedOn w:val="TableNormal"/>
    <w:uiPriority w:val="59"/>
    <w:rsid w:val="00BB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7681"/>
    <w:pPr>
      <w:jc w:val="left"/>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BoldItalic">
    <w:name w:val="SMBold/Italic"/>
    <w:aliases w:val="BI"/>
    <w:rsid w:val="00882C3B"/>
    <w:rPr>
      <w:b/>
      <w:i/>
    </w:rPr>
  </w:style>
  <w:style w:type="paragraph" w:customStyle="1" w:styleId="SMCentreBold">
    <w:name w:val="SMCentreBold"/>
    <w:aliases w:val="CB"/>
    <w:basedOn w:val="Normal"/>
    <w:rsid w:val="00882C3B"/>
    <w:pPr>
      <w:keepNext/>
      <w:spacing w:line="360" w:lineRule="auto"/>
      <w:jc w:val="center"/>
    </w:pPr>
    <w:rPr>
      <w:rFonts w:ascii="Arial" w:eastAsia="Times New Roman" w:hAnsi="Arial" w:cs="Arial"/>
      <w:b/>
      <w:sz w:val="22"/>
    </w:rPr>
  </w:style>
  <w:style w:type="character" w:customStyle="1" w:styleId="SMCharacterBold">
    <w:name w:val="SMCharacterBold"/>
    <w:aliases w:val="B"/>
    <w:rsid w:val="00882C3B"/>
    <w:rPr>
      <w:b/>
    </w:rPr>
  </w:style>
  <w:style w:type="character" w:customStyle="1" w:styleId="Heading2Char">
    <w:name w:val="Heading 2 Char"/>
    <w:basedOn w:val="DefaultParagraphFont"/>
    <w:link w:val="Heading2"/>
    <w:rsid w:val="003A5AA8"/>
    <w:rPr>
      <w:rFonts w:ascii="Arial" w:eastAsiaTheme="minorEastAsia" w:hAnsi="Arial" w:cs="Times New Roman"/>
      <w:b/>
      <w:sz w:val="30"/>
      <w:szCs w:val="24"/>
      <w:lang w:val="en-US" w:eastAsia="ja-JP"/>
    </w:rPr>
  </w:style>
  <w:style w:type="character" w:customStyle="1" w:styleId="Heading1Char">
    <w:name w:val="Heading 1 Char"/>
    <w:basedOn w:val="DefaultParagraphFont"/>
    <w:link w:val="Heading1"/>
    <w:uiPriority w:val="9"/>
    <w:rsid w:val="003A5AA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50CDB"/>
    <w:rPr>
      <w:sz w:val="16"/>
      <w:szCs w:val="16"/>
    </w:rPr>
  </w:style>
  <w:style w:type="paragraph" w:styleId="CommentText">
    <w:name w:val="annotation text"/>
    <w:basedOn w:val="Normal"/>
    <w:link w:val="CommentTextChar"/>
    <w:uiPriority w:val="99"/>
    <w:unhideWhenUsed/>
    <w:rsid w:val="00A50CDB"/>
    <w:rPr>
      <w:sz w:val="20"/>
      <w:szCs w:val="20"/>
    </w:rPr>
  </w:style>
  <w:style w:type="character" w:customStyle="1" w:styleId="CommentTextChar">
    <w:name w:val="Comment Text Char"/>
    <w:basedOn w:val="DefaultParagraphFont"/>
    <w:link w:val="CommentText"/>
    <w:uiPriority w:val="99"/>
    <w:rsid w:val="00A50CDB"/>
    <w:rPr>
      <w:sz w:val="20"/>
      <w:szCs w:val="20"/>
    </w:rPr>
  </w:style>
  <w:style w:type="paragraph" w:styleId="CommentSubject">
    <w:name w:val="annotation subject"/>
    <w:basedOn w:val="CommentText"/>
    <w:next w:val="CommentText"/>
    <w:link w:val="CommentSubjectChar"/>
    <w:uiPriority w:val="99"/>
    <w:semiHidden/>
    <w:unhideWhenUsed/>
    <w:rsid w:val="00A50CDB"/>
    <w:rPr>
      <w:b/>
      <w:bCs/>
    </w:rPr>
  </w:style>
  <w:style w:type="character" w:customStyle="1" w:styleId="CommentSubjectChar">
    <w:name w:val="Comment Subject Char"/>
    <w:basedOn w:val="CommentTextChar"/>
    <w:link w:val="CommentSubject"/>
    <w:uiPriority w:val="99"/>
    <w:semiHidden/>
    <w:rsid w:val="00A50CDB"/>
    <w:rPr>
      <w:b/>
      <w:bCs/>
      <w:sz w:val="20"/>
      <w:szCs w:val="20"/>
    </w:rPr>
  </w:style>
  <w:style w:type="paragraph" w:styleId="Revision">
    <w:name w:val="Revision"/>
    <w:hidden/>
    <w:uiPriority w:val="99"/>
    <w:semiHidden/>
    <w:rsid w:val="00F94D6C"/>
    <w:pPr>
      <w:jc w:val="left"/>
    </w:pPr>
  </w:style>
  <w:style w:type="paragraph" w:styleId="FootnoteText">
    <w:name w:val="footnote text"/>
    <w:basedOn w:val="Normal"/>
    <w:link w:val="FootnoteTextChar"/>
    <w:uiPriority w:val="99"/>
    <w:unhideWhenUsed/>
    <w:rsid w:val="0024224B"/>
    <w:rPr>
      <w:sz w:val="20"/>
      <w:szCs w:val="20"/>
    </w:rPr>
  </w:style>
  <w:style w:type="character" w:customStyle="1" w:styleId="FootnoteTextChar">
    <w:name w:val="Footnote Text Char"/>
    <w:basedOn w:val="DefaultParagraphFont"/>
    <w:link w:val="FootnoteText"/>
    <w:uiPriority w:val="99"/>
    <w:rsid w:val="0024224B"/>
    <w:rPr>
      <w:sz w:val="20"/>
      <w:szCs w:val="20"/>
    </w:rPr>
  </w:style>
  <w:style w:type="character" w:styleId="FootnoteReference">
    <w:name w:val="footnote reference"/>
    <w:basedOn w:val="DefaultParagraphFont"/>
    <w:uiPriority w:val="99"/>
    <w:unhideWhenUsed/>
    <w:qFormat/>
    <w:rsid w:val="0024224B"/>
    <w:rPr>
      <w:vertAlign w:val="superscript"/>
    </w:rPr>
  </w:style>
  <w:style w:type="character" w:styleId="UnresolvedMention">
    <w:name w:val="Unresolved Mention"/>
    <w:basedOn w:val="DefaultParagraphFont"/>
    <w:uiPriority w:val="99"/>
    <w:semiHidden/>
    <w:unhideWhenUsed/>
    <w:rsid w:val="00546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6050">
      <w:bodyDiv w:val="1"/>
      <w:marLeft w:val="0"/>
      <w:marRight w:val="0"/>
      <w:marTop w:val="0"/>
      <w:marBottom w:val="0"/>
      <w:divBdr>
        <w:top w:val="none" w:sz="0" w:space="0" w:color="auto"/>
        <w:left w:val="none" w:sz="0" w:space="0" w:color="auto"/>
        <w:bottom w:val="none" w:sz="0" w:space="0" w:color="auto"/>
        <w:right w:val="none" w:sz="0" w:space="0" w:color="auto"/>
      </w:divBdr>
    </w:div>
    <w:div w:id="1392575488">
      <w:bodyDiv w:val="1"/>
      <w:marLeft w:val="0"/>
      <w:marRight w:val="0"/>
      <w:marTop w:val="0"/>
      <w:marBottom w:val="0"/>
      <w:divBdr>
        <w:top w:val="none" w:sz="0" w:space="0" w:color="auto"/>
        <w:left w:val="none" w:sz="0" w:space="0" w:color="auto"/>
        <w:bottom w:val="none" w:sz="0" w:space="0" w:color="auto"/>
        <w:right w:val="none" w:sz="0" w:space="0" w:color="auto"/>
      </w:divBdr>
    </w:div>
    <w:div w:id="157897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oberts@pinklark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2E3136-054E-4615-A69A-D044097B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1579</Words>
  <Characters>8183</Characters>
  <Application>Microsoft Office Word</Application>
  <DocSecurity>0</DocSecurity>
  <Lines>209</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 Bolton</dc:creator>
  <cp:lastModifiedBy>Alissa Whalen</cp:lastModifiedBy>
  <cp:revision>12</cp:revision>
  <cp:lastPrinted>2025-12-01T17:44:00Z</cp:lastPrinted>
  <dcterms:created xsi:type="dcterms:W3CDTF">2025-12-01T16:20:00Z</dcterms:created>
  <dcterms:modified xsi:type="dcterms:W3CDTF">2025-12-01T17:44:00Z</dcterms:modified>
</cp:coreProperties>
</file>